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79" w:rsidRDefault="00171879" w:rsidP="003F4028">
      <w:pPr>
        <w:spacing w:before="240" w:after="0" w:line="240" w:lineRule="auto"/>
        <w:jc w:val="left"/>
        <w:rPr>
          <w:b/>
          <w:noProof/>
          <w:lang w:eastAsia="pt-BR"/>
        </w:rPr>
      </w:pPr>
      <w:bookmarkStart w:id="0" w:name="_GoBack"/>
      <w:bookmarkEnd w:id="0"/>
    </w:p>
    <w:p w:rsidR="00171879" w:rsidRDefault="00171879" w:rsidP="003F4028">
      <w:pPr>
        <w:spacing w:before="240" w:after="0" w:line="240" w:lineRule="auto"/>
        <w:jc w:val="left"/>
        <w:rPr>
          <w:b/>
          <w:noProof/>
          <w:lang w:eastAsia="pt-BR"/>
        </w:rPr>
      </w:pPr>
      <w:r w:rsidRPr="00171879">
        <w:rPr>
          <w:b/>
          <w:noProof/>
          <w:lang w:eastAsia="pt-BR"/>
        </w:rPr>
        <w:t>1H NMR spectroscopy</w:t>
      </w:r>
    </w:p>
    <w:p w:rsidR="00171879" w:rsidRDefault="00171879" w:rsidP="003F4028">
      <w:pPr>
        <w:spacing w:before="240" w:after="0" w:line="240" w:lineRule="auto"/>
        <w:jc w:val="left"/>
        <w:rPr>
          <w:b/>
          <w:noProof/>
          <w:lang w:eastAsia="pt-BR"/>
        </w:rPr>
      </w:pPr>
    </w:p>
    <w:p w:rsidR="00B35C41" w:rsidRPr="006D665D" w:rsidRDefault="00B35C41" w:rsidP="003F4028">
      <w:pPr>
        <w:spacing w:before="240" w:after="0" w:line="240" w:lineRule="auto"/>
        <w:jc w:val="left"/>
        <w:rPr>
          <w:b/>
          <w:noProof/>
          <w:lang w:eastAsia="pt-BR"/>
        </w:rPr>
      </w:pPr>
      <w:r w:rsidRPr="006D665D">
        <w:rPr>
          <w:b/>
          <w:noProof/>
          <w:lang w:eastAsia="pt-BR"/>
        </w:rPr>
        <w:t>ANEXO I</w:t>
      </w:r>
      <w:r>
        <w:rPr>
          <w:b/>
          <w:noProof/>
          <w:lang w:eastAsia="pt-BR"/>
        </w:rPr>
        <w:t>V</w:t>
      </w:r>
      <w:r w:rsidRPr="006D665D">
        <w:rPr>
          <w:b/>
          <w:noProof/>
          <w:lang w:eastAsia="pt-BR"/>
        </w:rPr>
        <w:t xml:space="preserve"> </w:t>
      </w:r>
    </w:p>
    <w:p w:rsidR="00B35C41" w:rsidRPr="00054383" w:rsidRDefault="00B35C41" w:rsidP="003F4028">
      <w:pPr>
        <w:spacing w:before="240" w:after="0" w:line="240" w:lineRule="auto"/>
        <w:rPr>
          <w:b/>
          <w:sz w:val="28"/>
          <w:szCs w:val="28"/>
        </w:rPr>
      </w:pPr>
      <w:r w:rsidRPr="00054383">
        <w:rPr>
          <w:b/>
          <w:sz w:val="28"/>
          <w:szCs w:val="28"/>
        </w:rPr>
        <w:t>Formulario para Presentación de Propuesta de Proyecto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92"/>
        <w:gridCol w:w="408"/>
        <w:gridCol w:w="1202"/>
        <w:gridCol w:w="1844"/>
        <w:gridCol w:w="1249"/>
        <w:gridCol w:w="700"/>
      </w:tblGrid>
      <w:tr w:rsidR="00B35C41" w:rsidRPr="006D665D">
        <w:trPr>
          <w:trHeight w:val="256"/>
        </w:trPr>
        <w:tc>
          <w:tcPr>
            <w:tcW w:w="2127" w:type="dxa"/>
          </w:tcPr>
          <w:p w:rsidR="00B35C41" w:rsidRPr="006D665D" w:rsidRDefault="00B35C41" w:rsidP="003F4028">
            <w:pPr>
              <w:spacing w:after="0" w:line="240" w:lineRule="auto"/>
              <w:jc w:val="left"/>
            </w:pPr>
            <w:r w:rsidRPr="006D665D">
              <w:rPr>
                <w:b/>
                <w:sz w:val="18"/>
              </w:rPr>
              <w:t>Región</w:t>
            </w:r>
          </w:p>
        </w:tc>
        <w:tc>
          <w:tcPr>
            <w:tcW w:w="7195" w:type="dxa"/>
            <w:gridSpan w:val="6"/>
          </w:tcPr>
          <w:p w:rsidR="00B35C41" w:rsidRDefault="00B35C41" w:rsidP="003F4028">
            <w:pPr>
              <w:spacing w:after="0" w:line="240" w:lineRule="auto"/>
            </w:pPr>
            <w:proofErr w:type="spellStart"/>
            <w:r>
              <w:t>Latinoamerica</w:t>
            </w:r>
            <w:proofErr w:type="spellEnd"/>
          </w:p>
          <w:p w:rsidR="00B35C41" w:rsidRPr="006D665D" w:rsidRDefault="00B35C41" w:rsidP="003F4028">
            <w:pPr>
              <w:spacing w:after="0" w:line="240" w:lineRule="auto"/>
            </w:pPr>
          </w:p>
        </w:tc>
      </w:tr>
      <w:tr w:rsidR="00B35C41" w:rsidRPr="006D665D">
        <w:trPr>
          <w:trHeight w:val="360"/>
        </w:trPr>
        <w:tc>
          <w:tcPr>
            <w:tcW w:w="2127" w:type="dxa"/>
          </w:tcPr>
          <w:p w:rsidR="00B35C41" w:rsidRPr="006D665D" w:rsidRDefault="00B35C41" w:rsidP="003F4028">
            <w:pPr>
              <w:spacing w:after="0" w:line="240" w:lineRule="auto"/>
              <w:jc w:val="left"/>
            </w:pPr>
            <w:r w:rsidRPr="006D665D">
              <w:rPr>
                <w:b/>
                <w:sz w:val="18"/>
              </w:rPr>
              <w:t xml:space="preserve">Acuerdo regional/de cooperación </w:t>
            </w:r>
            <w:r w:rsidRPr="006D665D">
              <w:rPr>
                <w:sz w:val="18"/>
              </w:rPr>
              <w:t>(si procede)</w:t>
            </w:r>
          </w:p>
        </w:tc>
        <w:tc>
          <w:tcPr>
            <w:tcW w:w="2200" w:type="dxa"/>
            <w:gridSpan w:val="2"/>
          </w:tcPr>
          <w:p w:rsidR="00B35C41" w:rsidRPr="006D665D" w:rsidRDefault="00B35C41" w:rsidP="003F4028">
            <w:pPr>
              <w:spacing w:after="0" w:line="240" w:lineRule="auto"/>
            </w:pPr>
          </w:p>
        </w:tc>
        <w:tc>
          <w:tcPr>
            <w:tcW w:w="4295" w:type="dxa"/>
            <w:gridSpan w:val="3"/>
          </w:tcPr>
          <w:p w:rsidR="00B35C41" w:rsidRPr="006D665D" w:rsidRDefault="00B35C41" w:rsidP="003F4028">
            <w:pPr>
              <w:spacing w:after="0" w:line="240" w:lineRule="auto"/>
            </w:pPr>
            <w:r w:rsidRPr="006D665D">
              <w:rPr>
                <w:b/>
                <w:sz w:val="18"/>
              </w:rPr>
              <w:t xml:space="preserve">Nº de prioridad otorgado por el acuerdo regional/de cooperación </w:t>
            </w:r>
            <w:r w:rsidRPr="006D665D">
              <w:rPr>
                <w:sz w:val="18"/>
              </w:rPr>
              <w:t>(para conceptos propuestos bajo los auspicios de los acuerdos regionales/de cooperación)</w:t>
            </w:r>
          </w:p>
        </w:tc>
        <w:tc>
          <w:tcPr>
            <w:tcW w:w="700" w:type="dxa"/>
          </w:tcPr>
          <w:p w:rsidR="00B35C41" w:rsidRPr="006D665D" w:rsidRDefault="00B35C41" w:rsidP="003F4028">
            <w:pPr>
              <w:spacing w:after="0" w:line="240" w:lineRule="auto"/>
            </w:pPr>
          </w:p>
        </w:tc>
      </w:tr>
      <w:tr w:rsidR="00B35C41" w:rsidRPr="006D665D">
        <w:trPr>
          <w:trHeight w:val="90"/>
        </w:trPr>
        <w:tc>
          <w:tcPr>
            <w:tcW w:w="2127" w:type="dxa"/>
            <w:shd w:val="clear" w:color="auto" w:fill="D9D9D9"/>
          </w:tcPr>
          <w:p w:rsidR="00B35C41" w:rsidRPr="006D665D" w:rsidRDefault="00B35C41" w:rsidP="003F4028">
            <w:pPr>
              <w:spacing w:after="0" w:line="240" w:lineRule="auto"/>
              <w:jc w:val="left"/>
              <w:rPr>
                <w:sz w:val="12"/>
              </w:rPr>
            </w:pPr>
          </w:p>
        </w:tc>
        <w:tc>
          <w:tcPr>
            <w:tcW w:w="2200" w:type="dxa"/>
            <w:gridSpan w:val="2"/>
            <w:shd w:val="clear" w:color="auto" w:fill="D9D9D9"/>
          </w:tcPr>
          <w:p w:rsidR="00B35C41" w:rsidRPr="006D665D" w:rsidRDefault="00B35C41" w:rsidP="003F4028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4295" w:type="dxa"/>
            <w:gridSpan w:val="3"/>
            <w:shd w:val="clear" w:color="auto" w:fill="D9D9D9"/>
          </w:tcPr>
          <w:p w:rsidR="00B35C41" w:rsidRPr="006D665D" w:rsidRDefault="00B35C41" w:rsidP="003F4028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700" w:type="dxa"/>
            <w:shd w:val="clear" w:color="auto" w:fill="D9D9D9"/>
          </w:tcPr>
          <w:p w:rsidR="00B35C41" w:rsidRPr="006D665D" w:rsidRDefault="00B35C41" w:rsidP="003F4028">
            <w:pPr>
              <w:spacing w:after="0" w:line="240" w:lineRule="auto"/>
              <w:rPr>
                <w:sz w:val="12"/>
              </w:rPr>
            </w:pPr>
          </w:p>
        </w:tc>
      </w:tr>
      <w:tr w:rsidR="00B35C41" w:rsidRPr="006D665D">
        <w:trPr>
          <w:trHeight w:val="272"/>
        </w:trPr>
        <w:tc>
          <w:tcPr>
            <w:tcW w:w="2127" w:type="dxa"/>
          </w:tcPr>
          <w:p w:rsidR="00B35C41" w:rsidRPr="006D665D" w:rsidRDefault="00B35C41" w:rsidP="003F4028">
            <w:pPr>
              <w:spacing w:after="0" w:line="240" w:lineRule="auto"/>
              <w:jc w:val="left"/>
            </w:pPr>
            <w:r w:rsidRPr="006D665D">
              <w:rPr>
                <w:b/>
                <w:sz w:val="18"/>
              </w:rPr>
              <w:t>Título</w:t>
            </w:r>
          </w:p>
        </w:tc>
        <w:tc>
          <w:tcPr>
            <w:tcW w:w="7195" w:type="dxa"/>
            <w:gridSpan w:val="6"/>
          </w:tcPr>
          <w:p w:rsidR="00B35C41" w:rsidRPr="006D665D" w:rsidRDefault="00B35C41" w:rsidP="003F4028">
            <w:pPr>
              <w:spacing w:after="0" w:line="240" w:lineRule="auto"/>
              <w:ind w:left="0" w:firstLine="0"/>
            </w:pPr>
            <w:r>
              <w:t xml:space="preserve">Manejo genético y nutricional </w:t>
            </w:r>
            <w:r w:rsidR="00896F89">
              <w:t>en la</w:t>
            </w:r>
            <w:r w:rsidR="0059630E">
              <w:t xml:space="preserve"> </w:t>
            </w:r>
            <w:r w:rsidR="00295D13">
              <w:t xml:space="preserve">piscicultura marina </w:t>
            </w:r>
            <w:r w:rsidR="00896F89">
              <w:t>de L</w:t>
            </w:r>
            <w:r w:rsidR="0059630E">
              <w:t>atinoam</w:t>
            </w:r>
            <w:r w:rsidR="003F4028">
              <w:t>é</w:t>
            </w:r>
            <w:r w:rsidR="0059630E">
              <w:t xml:space="preserve">rica </w:t>
            </w:r>
          </w:p>
        </w:tc>
      </w:tr>
      <w:tr w:rsidR="00B35C41" w:rsidRPr="006D665D">
        <w:trPr>
          <w:trHeight w:val="64"/>
        </w:trPr>
        <w:tc>
          <w:tcPr>
            <w:tcW w:w="2127" w:type="dxa"/>
            <w:shd w:val="clear" w:color="auto" w:fill="D9D9D9"/>
          </w:tcPr>
          <w:p w:rsidR="00B35C41" w:rsidRPr="006D665D" w:rsidRDefault="00B35C41" w:rsidP="003F4028">
            <w:pPr>
              <w:spacing w:after="0" w:line="240" w:lineRule="auto"/>
              <w:jc w:val="left"/>
              <w:rPr>
                <w:b/>
                <w:sz w:val="16"/>
              </w:rPr>
            </w:pPr>
          </w:p>
        </w:tc>
        <w:tc>
          <w:tcPr>
            <w:tcW w:w="7195" w:type="dxa"/>
            <w:gridSpan w:val="6"/>
            <w:shd w:val="clear" w:color="auto" w:fill="D9D9D9"/>
          </w:tcPr>
          <w:p w:rsidR="00B35C41" w:rsidRPr="006D665D" w:rsidRDefault="00B35C41" w:rsidP="003F4028">
            <w:pPr>
              <w:spacing w:after="0" w:line="240" w:lineRule="auto"/>
              <w:rPr>
                <w:sz w:val="16"/>
              </w:rPr>
            </w:pPr>
          </w:p>
        </w:tc>
      </w:tr>
      <w:tr w:rsidR="00B35C41" w:rsidRPr="006D665D">
        <w:trPr>
          <w:trHeight w:val="222"/>
        </w:trPr>
        <w:tc>
          <w:tcPr>
            <w:tcW w:w="2127" w:type="dxa"/>
          </w:tcPr>
          <w:p w:rsidR="00B35C41" w:rsidRPr="006D665D" w:rsidRDefault="00B35C41" w:rsidP="003F4028">
            <w:pPr>
              <w:spacing w:after="0" w:line="240" w:lineRule="auto"/>
              <w:jc w:val="left"/>
            </w:pPr>
            <w:r w:rsidRPr="006D665D">
              <w:rPr>
                <w:b/>
                <w:sz w:val="18"/>
              </w:rPr>
              <w:t>Esfera de actividad</w:t>
            </w:r>
          </w:p>
        </w:tc>
        <w:tc>
          <w:tcPr>
            <w:tcW w:w="7195" w:type="dxa"/>
            <w:gridSpan w:val="6"/>
          </w:tcPr>
          <w:p w:rsidR="007163B1" w:rsidRDefault="00B35C41" w:rsidP="003F4028">
            <w:pPr>
              <w:spacing w:after="0" w:line="240" w:lineRule="auto"/>
            </w:pPr>
            <w:r>
              <w:t>Acuicultura marina</w:t>
            </w:r>
            <w:r w:rsidR="00295D13">
              <w:t xml:space="preserve"> en peces</w:t>
            </w:r>
          </w:p>
        </w:tc>
      </w:tr>
      <w:tr w:rsidR="00B35C41" w:rsidRPr="006D665D">
        <w:trPr>
          <w:trHeight w:val="222"/>
        </w:trPr>
        <w:tc>
          <w:tcPr>
            <w:tcW w:w="2127" w:type="dxa"/>
          </w:tcPr>
          <w:p w:rsidR="00B35C41" w:rsidRPr="006D665D" w:rsidRDefault="00B35C41" w:rsidP="003F4028">
            <w:pPr>
              <w:spacing w:after="0" w:line="240" w:lineRule="auto"/>
              <w:jc w:val="left"/>
            </w:pPr>
            <w:r w:rsidRPr="006D665D">
              <w:rPr>
                <w:b/>
                <w:sz w:val="18"/>
              </w:rPr>
              <w:t>Nombres y datos</w:t>
            </w:r>
            <w:r>
              <w:rPr>
                <w:b/>
                <w:sz w:val="18"/>
              </w:rPr>
              <w:t xml:space="preserve"> </w:t>
            </w:r>
            <w:r w:rsidRPr="006D665D">
              <w:rPr>
                <w:b/>
                <w:sz w:val="18"/>
              </w:rPr>
              <w:t>de contacto de las contrapartes del proyecto y las instituciones de contraparte (comenzando con</w:t>
            </w:r>
            <w:r>
              <w:rPr>
                <w:b/>
                <w:sz w:val="18"/>
              </w:rPr>
              <w:t xml:space="preserve"> </w:t>
            </w:r>
            <w:r w:rsidRPr="006D665D">
              <w:rPr>
                <w:b/>
                <w:sz w:val="18"/>
              </w:rPr>
              <w:t>la contraparte principal)</w:t>
            </w:r>
          </w:p>
        </w:tc>
        <w:tc>
          <w:tcPr>
            <w:tcW w:w="7195" w:type="dxa"/>
            <w:gridSpan w:val="6"/>
          </w:tcPr>
          <w:p w:rsidR="00B35C41" w:rsidRPr="008E48AF" w:rsidRDefault="008713F8" w:rsidP="003F4028">
            <w:pPr>
              <w:spacing w:after="0" w:line="240" w:lineRule="auto"/>
            </w:pPr>
            <w:r>
              <w:t xml:space="preserve">Dr. Pedro Toledo. Universidad Católica del Norte. Chile. </w:t>
            </w:r>
            <w:hyperlink r:id="rId5" w:history="1">
              <w:r>
                <w:rPr>
                  <w:rStyle w:val="Hipervnculo"/>
                </w:rPr>
                <w:t>ptoledo@ucn.cl</w:t>
              </w:r>
            </w:hyperlink>
          </w:p>
          <w:p w:rsidR="00C00D9E" w:rsidRPr="003F4028" w:rsidRDefault="008713F8" w:rsidP="003F4028">
            <w:pPr>
              <w:keepNext/>
              <w:keepLines/>
              <w:spacing w:before="200" w:after="0" w:line="240" w:lineRule="auto"/>
              <w:outlineLvl w:val="1"/>
            </w:pPr>
            <w:r w:rsidRPr="003F4028">
              <w:t xml:space="preserve">Dr. </w:t>
            </w:r>
            <w:proofErr w:type="spellStart"/>
            <w:r w:rsidRPr="003F4028">
              <w:t>Angel</w:t>
            </w:r>
            <w:proofErr w:type="spellEnd"/>
            <w:r w:rsidRPr="003F4028">
              <w:t xml:space="preserve"> Herrera. Costa Rica. </w:t>
            </w:r>
            <w:hyperlink r:id="rId6" w:history="1">
              <w:r>
                <w:rPr>
                  <w:rStyle w:val="Hipervnculo"/>
                </w:rPr>
                <w:t>fherrera@una.cr</w:t>
              </w:r>
            </w:hyperlink>
          </w:p>
          <w:p w:rsidR="00B35C41" w:rsidRPr="003F4028" w:rsidRDefault="008713F8" w:rsidP="003F4028">
            <w:pPr>
              <w:spacing w:after="0" w:line="240" w:lineRule="auto"/>
              <w:ind w:left="0" w:firstLine="0"/>
              <w:rPr>
                <w:shd w:val="clear" w:color="auto" w:fill="FFFFFF"/>
              </w:rPr>
            </w:pPr>
            <w:r w:rsidRPr="003F4028">
              <w:t xml:space="preserve">Dr. Fabio Castaño Colombia.    </w:t>
            </w:r>
            <w:hyperlink r:id="rId7" w:history="1">
              <w:r w:rsidRPr="003F4028">
                <w:rPr>
                  <w:rStyle w:val="Hipervnculo"/>
                  <w:shd w:val="clear" w:color="auto" w:fill="FFFFFF"/>
                </w:rPr>
                <w:t>fcastanorivera@gmail.com</w:t>
              </w:r>
            </w:hyperlink>
          </w:p>
          <w:p w:rsidR="00A76B45" w:rsidRPr="003F4028" w:rsidRDefault="008713F8" w:rsidP="003F4028">
            <w:pPr>
              <w:spacing w:after="0" w:line="240" w:lineRule="auto"/>
              <w:ind w:left="0" w:firstLine="0"/>
              <w:rPr>
                <w:shd w:val="clear" w:color="auto" w:fill="FFFFFF"/>
              </w:rPr>
            </w:pPr>
            <w:r w:rsidRPr="003F4028">
              <w:rPr>
                <w:shd w:val="clear" w:color="auto" w:fill="FFFFFF"/>
              </w:rPr>
              <w:t xml:space="preserve">Dra. Maria Teresa Viana. </w:t>
            </w:r>
            <w:proofErr w:type="spellStart"/>
            <w:r w:rsidRPr="003F4028">
              <w:rPr>
                <w:shd w:val="clear" w:color="auto" w:fill="FFFFFF"/>
              </w:rPr>
              <w:t>M</w:t>
            </w:r>
            <w:r w:rsidR="00F07692">
              <w:rPr>
                <w:shd w:val="clear" w:color="auto" w:fill="FFFFFF"/>
              </w:rPr>
              <w:t>e</w:t>
            </w:r>
            <w:r w:rsidRPr="003F4028">
              <w:rPr>
                <w:shd w:val="clear" w:color="auto" w:fill="FFFFFF"/>
              </w:rPr>
              <w:t>xico</w:t>
            </w:r>
            <w:proofErr w:type="spellEnd"/>
            <w:r w:rsidRPr="003F4028">
              <w:rPr>
                <w:shd w:val="clear" w:color="auto" w:fill="FFFFFF"/>
              </w:rPr>
              <w:t xml:space="preserve"> </w:t>
            </w:r>
            <w:hyperlink r:id="rId8" w:history="1">
              <w:r w:rsidRPr="003F4028">
                <w:rPr>
                  <w:rStyle w:val="Hipervnculo"/>
                  <w:shd w:val="clear" w:color="auto" w:fill="FFFFFF"/>
                </w:rPr>
                <w:t>mtviana@hotmail.com</w:t>
              </w:r>
            </w:hyperlink>
          </w:p>
          <w:p w:rsidR="00A76B45" w:rsidRPr="003F4028" w:rsidRDefault="008713F8" w:rsidP="003F4028">
            <w:pPr>
              <w:keepNext/>
              <w:keepLines/>
              <w:spacing w:before="200" w:after="0" w:line="240" w:lineRule="auto"/>
              <w:ind w:left="0" w:firstLine="0"/>
              <w:outlineLvl w:val="1"/>
              <w:rPr>
                <w:shd w:val="clear" w:color="auto" w:fill="FFFFFF"/>
              </w:rPr>
            </w:pPr>
            <w:r w:rsidRPr="003F4028">
              <w:rPr>
                <w:shd w:val="clear" w:color="auto" w:fill="FFFFFF"/>
              </w:rPr>
              <w:t xml:space="preserve">Dr. Juan Pablo Lazo. </w:t>
            </w:r>
            <w:proofErr w:type="spellStart"/>
            <w:r w:rsidRPr="003F4028">
              <w:rPr>
                <w:shd w:val="clear" w:color="auto" w:fill="FFFFFF"/>
              </w:rPr>
              <w:t>M</w:t>
            </w:r>
            <w:r w:rsidR="00F07692">
              <w:rPr>
                <w:shd w:val="clear" w:color="auto" w:fill="FFFFFF"/>
              </w:rPr>
              <w:t>e</w:t>
            </w:r>
            <w:r w:rsidRPr="003F4028">
              <w:rPr>
                <w:shd w:val="clear" w:color="auto" w:fill="FFFFFF"/>
              </w:rPr>
              <w:t>xico</w:t>
            </w:r>
            <w:proofErr w:type="spellEnd"/>
            <w:r w:rsidRPr="003F4028">
              <w:rPr>
                <w:shd w:val="clear" w:color="auto" w:fill="FFFFFF"/>
              </w:rPr>
              <w:t xml:space="preserve"> jplazo@cicese.mx</w:t>
            </w:r>
          </w:p>
          <w:p w:rsidR="00B35C41" w:rsidRPr="006D665D" w:rsidRDefault="008713F8" w:rsidP="003F4028">
            <w:pPr>
              <w:spacing w:after="0" w:line="240" w:lineRule="auto"/>
              <w:rPr>
                <w:highlight w:val="yellow"/>
              </w:rPr>
            </w:pPr>
            <w:proofErr w:type="spellStart"/>
            <w:r w:rsidRPr="003F4028">
              <w:rPr>
                <w:shd w:val="clear" w:color="auto" w:fill="FFFFFF"/>
              </w:rPr>
              <w:t>Dr</w:t>
            </w:r>
            <w:proofErr w:type="spellEnd"/>
            <w:r w:rsidRPr="003F4028">
              <w:rPr>
                <w:shd w:val="clear" w:color="auto" w:fill="FFFFFF"/>
              </w:rPr>
              <w:t xml:space="preserve"> (c) Lili Carrera. Perú </w:t>
            </w:r>
            <w:hyperlink r:id="rId9" w:history="1">
              <w:r w:rsidRPr="003F4028">
                <w:rPr>
                  <w:rStyle w:val="Hipervnculo"/>
                  <w:shd w:val="clear" w:color="auto" w:fill="FFFFFF"/>
                </w:rPr>
                <w:t>lcarrera@imarpe.gob.pe</w:t>
              </w:r>
            </w:hyperlink>
          </w:p>
        </w:tc>
      </w:tr>
      <w:tr w:rsidR="00B35C41" w:rsidRPr="006D665D">
        <w:trPr>
          <w:trHeight w:val="127"/>
        </w:trPr>
        <w:tc>
          <w:tcPr>
            <w:tcW w:w="2127" w:type="dxa"/>
            <w:shd w:val="clear" w:color="auto" w:fill="D9D9D9"/>
          </w:tcPr>
          <w:p w:rsidR="00B35C41" w:rsidRPr="006D665D" w:rsidRDefault="00B35C41" w:rsidP="00C00D9E">
            <w:pPr>
              <w:jc w:val="left"/>
              <w:rPr>
                <w:b/>
                <w:sz w:val="12"/>
              </w:rPr>
            </w:pPr>
          </w:p>
        </w:tc>
        <w:tc>
          <w:tcPr>
            <w:tcW w:w="7195" w:type="dxa"/>
            <w:gridSpan w:val="6"/>
            <w:shd w:val="clear" w:color="auto" w:fill="D9D9D9"/>
          </w:tcPr>
          <w:p w:rsidR="00B35C41" w:rsidRPr="006D665D" w:rsidRDefault="00B35C41" w:rsidP="00C00D9E">
            <w:pPr>
              <w:rPr>
                <w:i/>
                <w:sz w:val="12"/>
              </w:rPr>
            </w:pPr>
          </w:p>
        </w:tc>
      </w:tr>
      <w:tr w:rsidR="00B35C41" w:rsidRPr="006D665D">
        <w:trPr>
          <w:trHeight w:val="1190"/>
        </w:trPr>
        <w:tc>
          <w:tcPr>
            <w:tcW w:w="2127" w:type="dxa"/>
          </w:tcPr>
          <w:p w:rsidR="00B35C41" w:rsidRPr="006D665D" w:rsidRDefault="00B35C41" w:rsidP="00C00D9E">
            <w:pPr>
              <w:jc w:val="left"/>
              <w:rPr>
                <w:b/>
                <w:sz w:val="18"/>
              </w:rPr>
            </w:pPr>
            <w:r w:rsidRPr="006D665D">
              <w:rPr>
                <w:b/>
                <w:sz w:val="18"/>
              </w:rPr>
              <w:t>Análisis de los problemas/</w:t>
            </w:r>
            <w:r>
              <w:rPr>
                <w:b/>
                <w:sz w:val="18"/>
              </w:rPr>
              <w:t>deficiencias/</w:t>
            </w:r>
            <w:r w:rsidRPr="006D665D">
              <w:rPr>
                <w:b/>
                <w:sz w:val="18"/>
              </w:rPr>
              <w:t>necesidades regionales</w:t>
            </w:r>
          </w:p>
          <w:p w:rsidR="00B35C41" w:rsidRPr="006D665D" w:rsidRDefault="00B35C41" w:rsidP="00C00D9E">
            <w:pPr>
              <w:jc w:val="left"/>
              <w:rPr>
                <w:b/>
                <w:sz w:val="18"/>
              </w:rPr>
            </w:pPr>
          </w:p>
        </w:tc>
        <w:tc>
          <w:tcPr>
            <w:tcW w:w="7195" w:type="dxa"/>
            <w:gridSpan w:val="6"/>
          </w:tcPr>
          <w:p w:rsidR="0059630E" w:rsidRDefault="0059630E" w:rsidP="0059630E">
            <w:pPr>
              <w:rPr>
                <w:i/>
              </w:rPr>
            </w:pPr>
            <w:r>
              <w:rPr>
                <w:i/>
              </w:rPr>
              <w:t xml:space="preserve">En la maricultura de </w:t>
            </w:r>
            <w:proofErr w:type="spellStart"/>
            <w:r>
              <w:rPr>
                <w:i/>
              </w:rPr>
              <w:t>Latinoamerica</w:t>
            </w:r>
            <w:proofErr w:type="spellEnd"/>
            <w:r>
              <w:rPr>
                <w:i/>
              </w:rPr>
              <w:t>, existen un número importante de especies que son cultivadas para el consu</w:t>
            </w:r>
            <w:r w:rsidR="00EA1721">
              <w:rPr>
                <w:i/>
              </w:rPr>
              <w:t>mo humano</w:t>
            </w:r>
            <w:r w:rsidR="00295D13">
              <w:rPr>
                <w:i/>
              </w:rPr>
              <w:t>,</w:t>
            </w:r>
            <w:r w:rsidR="00896F89">
              <w:rPr>
                <w:i/>
              </w:rPr>
              <w:t xml:space="preserve"> donde se</w:t>
            </w:r>
            <w:r w:rsidR="00295D13">
              <w:rPr>
                <w:i/>
              </w:rPr>
              <w:t xml:space="preserve"> incluye</w:t>
            </w:r>
            <w:r w:rsidR="00896F89">
              <w:rPr>
                <w:i/>
              </w:rPr>
              <w:t>n</w:t>
            </w:r>
            <w:r w:rsidR="00295D13">
              <w:rPr>
                <w:i/>
              </w:rPr>
              <w:t xml:space="preserve"> peces</w:t>
            </w:r>
            <w:r w:rsidR="00896F89">
              <w:rPr>
                <w:i/>
              </w:rPr>
              <w:t xml:space="preserve"> nativos</w:t>
            </w:r>
            <w:r w:rsidR="00295D13">
              <w:rPr>
                <w:i/>
              </w:rPr>
              <w:t>, pero</w:t>
            </w:r>
            <w:r w:rsidR="00896F89">
              <w:rPr>
                <w:i/>
              </w:rPr>
              <w:t xml:space="preserve"> en</w:t>
            </w:r>
            <w:r w:rsidR="00295D13">
              <w:rPr>
                <w:i/>
              </w:rPr>
              <w:t xml:space="preserve"> la mayoría </w:t>
            </w:r>
            <w:r w:rsidR="00896F89">
              <w:rPr>
                <w:i/>
              </w:rPr>
              <w:t xml:space="preserve">de los casos esta actividad </w:t>
            </w:r>
            <w:r w:rsidR="00295D13">
              <w:rPr>
                <w:i/>
              </w:rPr>
              <w:t xml:space="preserve">es incipiente, con excepción del Salmón en Chile y la </w:t>
            </w:r>
            <w:proofErr w:type="spellStart"/>
            <w:r w:rsidR="00295D13">
              <w:rPr>
                <w:i/>
              </w:rPr>
              <w:t>Cobia</w:t>
            </w:r>
            <w:proofErr w:type="spellEnd"/>
            <w:r w:rsidR="00295D13">
              <w:rPr>
                <w:i/>
              </w:rPr>
              <w:t xml:space="preserve"> en el Caribe, pero hay esfuerzos en varias especies de la familia </w:t>
            </w:r>
            <w:proofErr w:type="spellStart"/>
            <w:r w:rsidR="00295D13">
              <w:rPr>
                <w:i/>
              </w:rPr>
              <w:t>Lutjanidae</w:t>
            </w:r>
            <w:proofErr w:type="spellEnd"/>
            <w:r w:rsidR="00295D13">
              <w:rPr>
                <w:i/>
              </w:rPr>
              <w:t xml:space="preserve">, Costa Rica tiene al menos una empresa trabajando el cultivo de </w:t>
            </w:r>
            <w:proofErr w:type="spellStart"/>
            <w:r w:rsidR="00295D13">
              <w:rPr>
                <w:i/>
              </w:rPr>
              <w:t>Lutjanus</w:t>
            </w:r>
            <w:proofErr w:type="spellEnd"/>
            <w:r w:rsidR="00295D13">
              <w:rPr>
                <w:i/>
              </w:rPr>
              <w:t xml:space="preserve"> </w:t>
            </w:r>
            <w:proofErr w:type="spellStart"/>
            <w:r w:rsidR="00295D13">
              <w:rPr>
                <w:i/>
              </w:rPr>
              <w:t>guttatus</w:t>
            </w:r>
            <w:proofErr w:type="spellEnd"/>
            <w:r w:rsidR="00295D13">
              <w:rPr>
                <w:i/>
              </w:rPr>
              <w:t>, Chile tiene avances importantes con Co</w:t>
            </w:r>
            <w:r w:rsidR="002B3FCD">
              <w:rPr>
                <w:i/>
              </w:rPr>
              <w:t>jin</w:t>
            </w:r>
            <w:r w:rsidR="00896F89">
              <w:rPr>
                <w:i/>
              </w:rPr>
              <w:t>ob</w:t>
            </w:r>
            <w:r w:rsidR="002B3FCD">
              <w:rPr>
                <w:i/>
              </w:rPr>
              <w:t xml:space="preserve">a </w:t>
            </w:r>
            <w:r w:rsidR="00504B3A">
              <w:rPr>
                <w:i/>
              </w:rPr>
              <w:t xml:space="preserve">del norte </w:t>
            </w:r>
            <w:r w:rsidR="008713F8" w:rsidRPr="003F4028">
              <w:rPr>
                <w:i/>
                <w:color w:val="auto"/>
              </w:rPr>
              <w:t>(</w:t>
            </w:r>
            <w:proofErr w:type="spellStart"/>
            <w:r w:rsidR="008713F8" w:rsidRPr="003F4028">
              <w:rPr>
                <w:rFonts w:ascii="Arial" w:hAnsi="Arial" w:cs="Arial"/>
                <w:i/>
                <w:color w:val="auto"/>
                <w:sz w:val="19"/>
                <w:szCs w:val="19"/>
                <w:shd w:val="clear" w:color="auto" w:fill="FFFFFF"/>
              </w:rPr>
              <w:t>Seriolella</w:t>
            </w:r>
            <w:proofErr w:type="spellEnd"/>
            <w:r w:rsidR="008713F8" w:rsidRPr="003F4028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8713F8" w:rsidRPr="003F4028">
              <w:rPr>
                <w:rFonts w:ascii="Arial" w:hAnsi="Arial" w:cs="Arial"/>
                <w:i/>
                <w:color w:val="auto"/>
                <w:sz w:val="19"/>
                <w:szCs w:val="19"/>
                <w:shd w:val="clear" w:color="auto" w:fill="FFFFFF"/>
              </w:rPr>
              <w:t>viol</w:t>
            </w:r>
            <w:r w:rsidR="003F4028">
              <w:rPr>
                <w:rFonts w:ascii="Arial" w:hAnsi="Arial" w:cs="Arial"/>
                <w:i/>
                <w:color w:val="auto"/>
                <w:sz w:val="19"/>
                <w:szCs w:val="19"/>
                <w:shd w:val="clear" w:color="auto" w:fill="FFFFFF"/>
              </w:rPr>
              <w:t>a</w:t>
            </w:r>
            <w:r w:rsidR="008713F8" w:rsidRPr="003F4028">
              <w:rPr>
                <w:rFonts w:ascii="Arial" w:hAnsi="Arial" w:cs="Arial"/>
                <w:i/>
                <w:color w:val="auto"/>
                <w:sz w:val="19"/>
                <w:szCs w:val="19"/>
                <w:shd w:val="clear" w:color="auto" w:fill="FFFFFF"/>
              </w:rPr>
              <w:t>cea</w:t>
            </w:r>
            <w:proofErr w:type="spellEnd"/>
            <w:r w:rsidR="008713F8" w:rsidRPr="003F4028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>)</w:t>
            </w:r>
            <w:r w:rsidR="00896F89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 xml:space="preserve"> y </w:t>
            </w:r>
            <w:proofErr w:type="spellStart"/>
            <w:r w:rsidR="00896F89" w:rsidRPr="003F4028">
              <w:rPr>
                <w:rFonts w:ascii="Arial" w:hAnsi="Arial" w:cs="Arial"/>
                <w:i/>
                <w:color w:val="auto"/>
                <w:sz w:val="19"/>
                <w:szCs w:val="19"/>
                <w:shd w:val="clear" w:color="auto" w:fill="FFFFFF"/>
              </w:rPr>
              <w:t>Seriola</w:t>
            </w:r>
            <w:proofErr w:type="spellEnd"/>
            <w:r w:rsidR="00896F89" w:rsidRPr="003F4028">
              <w:rPr>
                <w:rFonts w:ascii="Arial" w:hAnsi="Arial" w:cs="Arial"/>
                <w:i/>
                <w:color w:val="auto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896F89" w:rsidRPr="003F4028">
              <w:rPr>
                <w:rFonts w:ascii="Arial" w:hAnsi="Arial" w:cs="Arial"/>
                <w:i/>
                <w:color w:val="auto"/>
                <w:sz w:val="19"/>
                <w:szCs w:val="19"/>
                <w:shd w:val="clear" w:color="auto" w:fill="FFFFFF"/>
              </w:rPr>
              <w:t>lalandi</w:t>
            </w:r>
            <w:proofErr w:type="spellEnd"/>
            <w:r w:rsidR="00896F89">
              <w:rPr>
                <w:rFonts w:ascii="Arial" w:hAnsi="Arial" w:cs="Arial"/>
                <w:i/>
                <w:color w:val="auto"/>
                <w:sz w:val="19"/>
                <w:szCs w:val="19"/>
                <w:shd w:val="clear" w:color="auto" w:fill="FFFFFF"/>
              </w:rPr>
              <w:t>.</w:t>
            </w:r>
            <w:r w:rsidR="00EA1721" w:rsidRPr="00896F89">
              <w:rPr>
                <w:i/>
              </w:rPr>
              <w:t xml:space="preserve"> </w:t>
            </w:r>
            <w:r w:rsidR="00295D13" w:rsidRPr="00896F89">
              <w:rPr>
                <w:i/>
              </w:rPr>
              <w:t xml:space="preserve"> </w:t>
            </w:r>
            <w:r w:rsidR="00504B3A" w:rsidRPr="00896F89">
              <w:rPr>
                <w:i/>
              </w:rPr>
              <w:t>Las e</w:t>
            </w:r>
            <w:r w:rsidR="00504B3A">
              <w:rPr>
                <w:i/>
              </w:rPr>
              <w:t xml:space="preserve">species nuevas se desarrollan con </w:t>
            </w:r>
            <w:r>
              <w:rPr>
                <w:i/>
              </w:rPr>
              <w:t xml:space="preserve">escasos recursos, </w:t>
            </w:r>
            <w:r w:rsidR="00504B3A">
              <w:rPr>
                <w:i/>
              </w:rPr>
              <w:t xml:space="preserve">con un </w:t>
            </w:r>
            <w:r>
              <w:rPr>
                <w:i/>
              </w:rPr>
              <w:t>manejo gen</w:t>
            </w:r>
            <w:r w:rsidR="00504B3A">
              <w:rPr>
                <w:i/>
              </w:rPr>
              <w:t>é</w:t>
            </w:r>
            <w:r>
              <w:rPr>
                <w:i/>
              </w:rPr>
              <w:t xml:space="preserve">tico </w:t>
            </w:r>
            <w:r w:rsidR="00504B3A">
              <w:rPr>
                <w:i/>
              </w:rPr>
              <w:t xml:space="preserve">básico </w:t>
            </w:r>
            <w:r>
              <w:rPr>
                <w:i/>
              </w:rPr>
              <w:t>para mejorar la producción, y por otra parte muchas de ellas son alimentadas con alimentos formulado</w:t>
            </w:r>
            <w:r w:rsidR="00EA1721">
              <w:rPr>
                <w:i/>
              </w:rPr>
              <w:t>s y elab</w:t>
            </w:r>
            <w:r>
              <w:rPr>
                <w:i/>
              </w:rPr>
              <w:t>orados para otras especies</w:t>
            </w:r>
            <w:r w:rsidR="00EA1721">
              <w:rPr>
                <w:i/>
              </w:rPr>
              <w:t xml:space="preserve"> de</w:t>
            </w:r>
            <w:r>
              <w:rPr>
                <w:i/>
              </w:rPr>
              <w:t xml:space="preserve"> la acuicultura,</w:t>
            </w:r>
            <w:r w:rsidR="00504B3A">
              <w:rPr>
                <w:i/>
              </w:rPr>
              <w:t xml:space="preserve"> </w:t>
            </w:r>
            <w:r>
              <w:rPr>
                <w:i/>
              </w:rPr>
              <w:t xml:space="preserve">incluso con alimento de animales terrestres o con desechos de la agricultura y la </w:t>
            </w:r>
            <w:proofErr w:type="spellStart"/>
            <w:r>
              <w:rPr>
                <w:i/>
              </w:rPr>
              <w:t>ganaderia</w:t>
            </w:r>
            <w:proofErr w:type="spellEnd"/>
            <w:r>
              <w:rPr>
                <w:i/>
              </w:rPr>
              <w:t>.</w:t>
            </w:r>
          </w:p>
          <w:p w:rsidR="00B35C41" w:rsidRPr="006D665D" w:rsidRDefault="0059630E" w:rsidP="00C00D9E">
            <w:r>
              <w:rPr>
                <w:i/>
              </w:rPr>
              <w:t xml:space="preserve">El proyecto tiene como fin generar un grupo multidisciplinario de investigadores de la Región para abordar el tema de la </w:t>
            </w:r>
            <w:proofErr w:type="spellStart"/>
            <w:r>
              <w:rPr>
                <w:i/>
              </w:rPr>
              <w:t>genetica</w:t>
            </w:r>
            <w:proofErr w:type="spellEnd"/>
            <w:r>
              <w:rPr>
                <w:i/>
              </w:rPr>
              <w:t xml:space="preserve"> y la nutrició</w:t>
            </w:r>
            <w:r w:rsidR="00EA1721">
              <w:rPr>
                <w:i/>
              </w:rPr>
              <w:t xml:space="preserve">n en especies de </w:t>
            </w:r>
            <w:r w:rsidR="00504B3A">
              <w:rPr>
                <w:i/>
              </w:rPr>
              <w:t xml:space="preserve">peces marinos autóctonos (no exóticos a la zona) para </w:t>
            </w:r>
            <w:r w:rsidR="00EA1721">
              <w:rPr>
                <w:i/>
              </w:rPr>
              <w:t>cultivo en mar</w:t>
            </w:r>
            <w:r w:rsidR="00504B3A">
              <w:rPr>
                <w:i/>
              </w:rPr>
              <w:t xml:space="preserve"> o que tengan potencial para cultivo</w:t>
            </w:r>
            <w:r>
              <w:rPr>
                <w:i/>
              </w:rPr>
              <w:t xml:space="preserve">. Al mejorar la actividad productiva se </w:t>
            </w:r>
            <w:proofErr w:type="spellStart"/>
            <w:r>
              <w:rPr>
                <w:i/>
              </w:rPr>
              <w:t>dismnuirá</w:t>
            </w:r>
            <w:proofErr w:type="spellEnd"/>
            <w:r>
              <w:rPr>
                <w:i/>
              </w:rPr>
              <w:t xml:space="preserve"> la </w:t>
            </w:r>
            <w:proofErr w:type="spellStart"/>
            <w:r>
              <w:rPr>
                <w:i/>
              </w:rPr>
              <w:t>activdad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extract</w:t>
            </w:r>
            <w:r w:rsidR="00896F89">
              <w:rPr>
                <w:i/>
              </w:rPr>
              <w:t>v</w:t>
            </w:r>
            <w:r>
              <w:rPr>
                <w:i/>
              </w:rPr>
              <w:t>ia</w:t>
            </w:r>
            <w:proofErr w:type="spellEnd"/>
            <w:r>
              <w:rPr>
                <w:i/>
              </w:rPr>
              <w:t xml:space="preserve"> de la pesca y captura de animales silvestres</w:t>
            </w:r>
            <w:r w:rsidR="00EA1721">
              <w:rPr>
                <w:i/>
              </w:rPr>
              <w:t xml:space="preserve">. Todo lo anterior se enmarca en las </w:t>
            </w:r>
            <w:proofErr w:type="spellStart"/>
            <w:r w:rsidR="00EA1721">
              <w:rPr>
                <w:i/>
              </w:rPr>
              <w:t>politicas</w:t>
            </w:r>
            <w:proofErr w:type="spellEnd"/>
            <w:r w:rsidR="00EA1721">
              <w:rPr>
                <w:i/>
              </w:rPr>
              <w:t xml:space="preserve"> públicas de la Región que tienen como fin proteger sus recursos </w:t>
            </w:r>
            <w:proofErr w:type="spellStart"/>
            <w:r w:rsidR="00EA1721">
              <w:rPr>
                <w:i/>
              </w:rPr>
              <w:t>bioólogicos</w:t>
            </w:r>
            <w:proofErr w:type="spellEnd"/>
            <w:r w:rsidR="00EA1721">
              <w:rPr>
                <w:i/>
              </w:rPr>
              <w:t xml:space="preserve"> naturales, mejorar la calidad de vida de la población</w:t>
            </w:r>
            <w:r w:rsidR="00896F89">
              <w:rPr>
                <w:i/>
              </w:rPr>
              <w:t>, generar empleo y produc</w:t>
            </w:r>
            <w:r w:rsidR="00EA1721">
              <w:rPr>
                <w:i/>
              </w:rPr>
              <w:t>i</w:t>
            </w:r>
            <w:r w:rsidR="00896F89">
              <w:rPr>
                <w:i/>
              </w:rPr>
              <w:t>r</w:t>
            </w:r>
            <w:r w:rsidR="00EA1721">
              <w:rPr>
                <w:i/>
              </w:rPr>
              <w:t xml:space="preserve"> alimentos inocuos para la población de la Región.</w:t>
            </w:r>
            <w:r w:rsidR="00504B3A">
              <w:rPr>
                <w:i/>
              </w:rPr>
              <w:t xml:space="preserve"> </w:t>
            </w:r>
          </w:p>
        </w:tc>
      </w:tr>
      <w:tr w:rsidR="00B35C41" w:rsidRPr="006D665D">
        <w:trPr>
          <w:trHeight w:val="575"/>
        </w:trPr>
        <w:tc>
          <w:tcPr>
            <w:tcW w:w="2127" w:type="dxa"/>
          </w:tcPr>
          <w:p w:rsidR="00B35C41" w:rsidRPr="006D665D" w:rsidRDefault="00B35C41" w:rsidP="00C00D9E">
            <w:pPr>
              <w:jc w:val="left"/>
            </w:pPr>
            <w:r w:rsidRPr="006D665D">
              <w:rPr>
                <w:b/>
                <w:sz w:val="18"/>
              </w:rPr>
              <w:t>¿Por qué debería</w:t>
            </w:r>
            <w:r>
              <w:rPr>
                <w:b/>
                <w:sz w:val="18"/>
              </w:rPr>
              <w:t xml:space="preserve"> </w:t>
            </w:r>
            <w:r w:rsidRPr="006D665D">
              <w:rPr>
                <w:b/>
                <w:sz w:val="18"/>
              </w:rPr>
              <w:t>ser un proyecto regional?</w:t>
            </w:r>
          </w:p>
        </w:tc>
        <w:tc>
          <w:tcPr>
            <w:tcW w:w="7195" w:type="dxa"/>
            <w:gridSpan w:val="6"/>
          </w:tcPr>
          <w:p w:rsidR="007163B1" w:rsidRDefault="00EA1721">
            <w:pPr>
              <w:rPr>
                <w:i/>
              </w:rPr>
            </w:pPr>
            <w:r>
              <w:rPr>
                <w:i/>
              </w:rPr>
              <w:t xml:space="preserve">Este es un proyecto Regional, ya que en los diversos países existe una heterogeneidad en el desarrollo de la Maricultura. Esto </w:t>
            </w:r>
            <w:r w:rsidR="00A76B45">
              <w:rPr>
                <w:i/>
              </w:rPr>
              <w:t xml:space="preserve">provoca </w:t>
            </w:r>
            <w:r w:rsidR="00504B3A">
              <w:rPr>
                <w:i/>
              </w:rPr>
              <w:t>que algunos países tengan un desarrollo aceptable, pero otros no tengan mayor avance</w:t>
            </w:r>
            <w:r w:rsidR="00A76B45">
              <w:rPr>
                <w:i/>
              </w:rPr>
              <w:t xml:space="preserve">. </w:t>
            </w:r>
            <w:r w:rsidR="00A76B45">
              <w:rPr>
                <w:i/>
              </w:rPr>
              <w:lastRenderedPageBreak/>
              <w:t xml:space="preserve">El capital humano </w:t>
            </w:r>
            <w:r w:rsidR="00504B3A">
              <w:rPr>
                <w:i/>
              </w:rPr>
              <w:t xml:space="preserve">especializado en </w:t>
            </w:r>
            <w:r w:rsidR="00A76B45">
              <w:rPr>
                <w:i/>
              </w:rPr>
              <w:t xml:space="preserve">la Región requiere de estas iniciativas para intentar homogeneizar </w:t>
            </w:r>
            <w:r w:rsidR="00504B3A">
              <w:rPr>
                <w:i/>
              </w:rPr>
              <w:t>y lograr un</w:t>
            </w:r>
            <w:r w:rsidR="00A76B45">
              <w:rPr>
                <w:i/>
              </w:rPr>
              <w:t xml:space="preserve"> desarrollo productivo en Maricultura</w:t>
            </w:r>
            <w:r w:rsidR="00504B3A">
              <w:rPr>
                <w:i/>
              </w:rPr>
              <w:t>.</w:t>
            </w:r>
          </w:p>
        </w:tc>
      </w:tr>
      <w:tr w:rsidR="00B35C41" w:rsidRPr="006D665D">
        <w:trPr>
          <w:trHeight w:val="113"/>
        </w:trPr>
        <w:tc>
          <w:tcPr>
            <w:tcW w:w="2127" w:type="dxa"/>
            <w:shd w:val="clear" w:color="auto" w:fill="D9D9D9"/>
          </w:tcPr>
          <w:p w:rsidR="00B35C41" w:rsidRPr="006D665D" w:rsidRDefault="00B35C41" w:rsidP="00C00D9E">
            <w:pPr>
              <w:jc w:val="left"/>
              <w:rPr>
                <w:b/>
                <w:sz w:val="16"/>
              </w:rPr>
            </w:pPr>
          </w:p>
        </w:tc>
        <w:tc>
          <w:tcPr>
            <w:tcW w:w="7195" w:type="dxa"/>
            <w:gridSpan w:val="6"/>
            <w:shd w:val="clear" w:color="auto" w:fill="D9D9D9"/>
          </w:tcPr>
          <w:p w:rsidR="00B35C41" w:rsidRPr="006D665D" w:rsidRDefault="00B35C41" w:rsidP="00C00D9E">
            <w:pPr>
              <w:rPr>
                <w:i/>
                <w:sz w:val="16"/>
              </w:rPr>
            </w:pPr>
          </w:p>
        </w:tc>
      </w:tr>
      <w:tr w:rsidR="00B35C41" w:rsidRPr="006D665D">
        <w:trPr>
          <w:trHeight w:val="819"/>
        </w:trPr>
        <w:tc>
          <w:tcPr>
            <w:tcW w:w="2127" w:type="dxa"/>
          </w:tcPr>
          <w:p w:rsidR="00B35C41" w:rsidRPr="006D665D" w:rsidRDefault="00B35C41" w:rsidP="00C00D9E">
            <w:pPr>
              <w:jc w:val="left"/>
              <w:rPr>
                <w:b/>
                <w:sz w:val="18"/>
              </w:rPr>
            </w:pPr>
            <w:r w:rsidRPr="006D665D">
              <w:rPr>
                <w:b/>
                <w:sz w:val="18"/>
              </w:rPr>
              <w:t>Análisis de las asociaciones y partes interesadas</w:t>
            </w:r>
          </w:p>
          <w:p w:rsidR="00B35C41" w:rsidRPr="006D665D" w:rsidRDefault="00B35C41" w:rsidP="00C00D9E">
            <w:pPr>
              <w:jc w:val="left"/>
              <w:rPr>
                <w:b/>
                <w:sz w:val="18"/>
              </w:rPr>
            </w:pPr>
          </w:p>
        </w:tc>
        <w:tc>
          <w:tcPr>
            <w:tcW w:w="7195" w:type="dxa"/>
            <w:gridSpan w:val="6"/>
          </w:tcPr>
          <w:p w:rsidR="00504B3A" w:rsidRDefault="00504B3A" w:rsidP="00C00D9E">
            <w:pPr>
              <w:rPr>
                <w:i/>
              </w:rPr>
            </w:pPr>
            <w:r>
              <w:rPr>
                <w:i/>
              </w:rPr>
              <w:t>Chile: Un interés del gobierno por diversificar el cultivo de peces marinos, especialmente al norte del país.</w:t>
            </w:r>
            <w:r w:rsidR="004F2444">
              <w:rPr>
                <w:i/>
              </w:rPr>
              <w:t xml:space="preserve"> Usuarios finales:</w:t>
            </w:r>
            <w:r w:rsidR="001756EC">
              <w:rPr>
                <w:i/>
              </w:rPr>
              <w:t xml:space="preserve"> La Universidad Católica del Norte, lleva años de esfuerzos, al igual que Fundación Chile y la Subsecretaría de Pesca y Acuicultura.</w:t>
            </w:r>
            <w:r w:rsidR="004F2444">
              <w:rPr>
                <w:i/>
              </w:rPr>
              <w:t xml:space="preserve"> Beneficiarios: Profesionales ligados a desarrollo genético y nutricional de peces marinos. Patrocinador: Universidad Católica de Norte.</w:t>
            </w:r>
            <w:r w:rsidR="008E48AF">
              <w:rPr>
                <w:i/>
              </w:rPr>
              <w:t xml:space="preserve"> Función: Coordinador general</w:t>
            </w:r>
            <w:r w:rsidR="0028177A">
              <w:rPr>
                <w:i/>
              </w:rPr>
              <w:t xml:space="preserve"> y subcoordinador para Sudamérica</w:t>
            </w:r>
            <w:r w:rsidR="008E48AF">
              <w:rPr>
                <w:i/>
              </w:rPr>
              <w:t>, laboratorios a disposición para investigación y desarrollo.</w:t>
            </w:r>
            <w:r w:rsidR="00896F89">
              <w:rPr>
                <w:i/>
              </w:rPr>
              <w:t xml:space="preserve"> </w:t>
            </w:r>
            <w:proofErr w:type="spellStart"/>
            <w:r w:rsidR="00896F89">
              <w:rPr>
                <w:i/>
              </w:rPr>
              <w:t>Tambien</w:t>
            </w:r>
            <w:proofErr w:type="spellEnd"/>
            <w:r w:rsidR="00896F89">
              <w:rPr>
                <w:i/>
              </w:rPr>
              <w:t xml:space="preserve"> se verán </w:t>
            </w:r>
            <w:proofErr w:type="spellStart"/>
            <w:r w:rsidR="00896F89">
              <w:rPr>
                <w:i/>
              </w:rPr>
              <w:t>beneficiaciadas</w:t>
            </w:r>
            <w:proofErr w:type="spellEnd"/>
            <w:r w:rsidR="00896F89">
              <w:rPr>
                <w:i/>
              </w:rPr>
              <w:t xml:space="preserve">, asociaciones de pescadores artesanales, empresas </w:t>
            </w:r>
            <w:proofErr w:type="spellStart"/>
            <w:r w:rsidR="00896F89">
              <w:rPr>
                <w:i/>
              </w:rPr>
              <w:t>publicas</w:t>
            </w:r>
            <w:proofErr w:type="spellEnd"/>
            <w:r w:rsidR="00896F89">
              <w:rPr>
                <w:i/>
              </w:rPr>
              <w:t xml:space="preserve"> y </w:t>
            </w:r>
            <w:proofErr w:type="spellStart"/>
            <w:r w:rsidR="00896F89">
              <w:rPr>
                <w:i/>
              </w:rPr>
              <w:t>rpivadas</w:t>
            </w:r>
            <w:proofErr w:type="spellEnd"/>
            <w:r w:rsidR="00896F89">
              <w:rPr>
                <w:i/>
              </w:rPr>
              <w:t xml:space="preserve">, entidades anexas a la producción acuícola.  </w:t>
            </w:r>
          </w:p>
          <w:p w:rsidR="004F2444" w:rsidRDefault="004F2444" w:rsidP="00C00D9E">
            <w:pPr>
              <w:rPr>
                <w:i/>
              </w:rPr>
            </w:pPr>
          </w:p>
          <w:p w:rsidR="00896F89" w:rsidRDefault="004F2444" w:rsidP="00896F89">
            <w:pPr>
              <w:rPr>
                <w:i/>
              </w:rPr>
            </w:pPr>
            <w:r>
              <w:rPr>
                <w:i/>
              </w:rPr>
              <w:t>C</w:t>
            </w:r>
            <w:r w:rsidR="00504B3A">
              <w:rPr>
                <w:i/>
              </w:rPr>
              <w:t>osta Rica: Un desarrollo incipiente con una especie, que debe fortalecerse y a la vez buscar alternativas rentables con nuevas especies.</w:t>
            </w:r>
            <w:r>
              <w:rPr>
                <w:i/>
              </w:rPr>
              <w:t xml:space="preserve"> Usuarios finales: </w:t>
            </w:r>
            <w:r w:rsidR="001756EC">
              <w:rPr>
                <w:i/>
              </w:rPr>
              <w:t xml:space="preserve"> La Universidad Nacional y el Parque Marino del Pacífico, desarrollan biotecnología en peces marinos.  El Instituto Costarricense de Pesca y Acuicultura apoya los esfuerzos en esta temática.</w:t>
            </w:r>
            <w:r w:rsidR="008E48AF">
              <w:rPr>
                <w:i/>
              </w:rPr>
              <w:t xml:space="preserve"> </w:t>
            </w:r>
            <w:r>
              <w:rPr>
                <w:i/>
              </w:rPr>
              <w:t xml:space="preserve">Beneficiarios: Profesionales ligados a desarrollo genético y nutricional de peces marinos. Patrocinador: Parque Marino del Pacífico y Universidad Nacional. </w:t>
            </w:r>
            <w:r w:rsidR="0028177A">
              <w:rPr>
                <w:i/>
              </w:rPr>
              <w:t>Función: Sub</w:t>
            </w:r>
            <w:r w:rsidR="008E48AF">
              <w:rPr>
                <w:i/>
              </w:rPr>
              <w:t xml:space="preserve">coordinador para </w:t>
            </w:r>
            <w:r>
              <w:rPr>
                <w:i/>
              </w:rPr>
              <w:t>Centroamérica</w:t>
            </w:r>
            <w:r w:rsidR="008E48AF">
              <w:rPr>
                <w:i/>
              </w:rPr>
              <w:t xml:space="preserve">, México y el Caribe. Laboratorios a disposición para investigación y </w:t>
            </w:r>
            <w:proofErr w:type="spellStart"/>
            <w:proofErr w:type="gramStart"/>
            <w:r w:rsidR="008E48AF">
              <w:rPr>
                <w:i/>
              </w:rPr>
              <w:t>desarrollo.</w:t>
            </w:r>
            <w:r w:rsidR="00896F89">
              <w:rPr>
                <w:i/>
              </w:rPr>
              <w:t>Tambien</w:t>
            </w:r>
            <w:proofErr w:type="spellEnd"/>
            <w:proofErr w:type="gramEnd"/>
            <w:r w:rsidR="00896F89">
              <w:rPr>
                <w:i/>
              </w:rPr>
              <w:t xml:space="preserve"> se verán </w:t>
            </w:r>
            <w:proofErr w:type="spellStart"/>
            <w:r w:rsidR="00896F89">
              <w:rPr>
                <w:i/>
              </w:rPr>
              <w:t>beneficiaciadas</w:t>
            </w:r>
            <w:proofErr w:type="spellEnd"/>
            <w:r w:rsidR="00896F89">
              <w:rPr>
                <w:i/>
              </w:rPr>
              <w:t xml:space="preserve">, asociaciones de pescadores artesanales, empresas </w:t>
            </w:r>
            <w:proofErr w:type="spellStart"/>
            <w:r w:rsidR="00896F89">
              <w:rPr>
                <w:i/>
              </w:rPr>
              <w:t>publicas</w:t>
            </w:r>
            <w:proofErr w:type="spellEnd"/>
            <w:r w:rsidR="00896F89">
              <w:rPr>
                <w:i/>
              </w:rPr>
              <w:t xml:space="preserve"> y </w:t>
            </w:r>
            <w:proofErr w:type="spellStart"/>
            <w:r w:rsidR="00896F89">
              <w:rPr>
                <w:i/>
              </w:rPr>
              <w:t>rpivadas</w:t>
            </w:r>
            <w:proofErr w:type="spellEnd"/>
            <w:r w:rsidR="00896F89">
              <w:rPr>
                <w:i/>
              </w:rPr>
              <w:t xml:space="preserve">, entidades anexas a la producción acuícola.  </w:t>
            </w:r>
          </w:p>
          <w:p w:rsidR="00504B3A" w:rsidRDefault="00504B3A" w:rsidP="00C00D9E">
            <w:pPr>
              <w:rPr>
                <w:i/>
              </w:rPr>
            </w:pPr>
          </w:p>
          <w:p w:rsidR="004F2444" w:rsidRDefault="004F2444" w:rsidP="00C00D9E">
            <w:pPr>
              <w:rPr>
                <w:i/>
              </w:rPr>
            </w:pPr>
          </w:p>
          <w:p w:rsidR="00504B3A" w:rsidRDefault="00504B3A" w:rsidP="00C00D9E">
            <w:pPr>
              <w:rPr>
                <w:i/>
              </w:rPr>
            </w:pPr>
            <w:r>
              <w:rPr>
                <w:i/>
              </w:rPr>
              <w:t>Colombia: Esfuerzos en distintas universidades, especialmente en la costa Caribe, para desarrollar cultivos con peces marinos.</w:t>
            </w:r>
            <w:r w:rsidR="001756EC">
              <w:rPr>
                <w:i/>
              </w:rPr>
              <w:t xml:space="preserve"> </w:t>
            </w:r>
            <w:r w:rsidR="004F2444">
              <w:rPr>
                <w:i/>
              </w:rPr>
              <w:t xml:space="preserve">Usuarios finales: </w:t>
            </w:r>
            <w:r w:rsidR="001756EC">
              <w:rPr>
                <w:i/>
              </w:rPr>
              <w:t xml:space="preserve">Las Universidades de Antioquia y Magdalena, trabajan el tema., el </w:t>
            </w:r>
            <w:r w:rsidR="001756EC">
              <w:t xml:space="preserve">Instituto de Investigaciones Marinas y Costeras </w:t>
            </w:r>
            <w:proofErr w:type="spellStart"/>
            <w:r w:rsidR="001756EC">
              <w:t>Invemar</w:t>
            </w:r>
            <w:proofErr w:type="spellEnd"/>
            <w:r w:rsidR="001756EC">
              <w:t xml:space="preserve">, del Ministerio de Ambiente y Desarrollo Sostenible, </w:t>
            </w:r>
            <w:r w:rsidR="008E48AF">
              <w:t xml:space="preserve">y la Autoridad Nacional de Pesca y Acuicultura </w:t>
            </w:r>
            <w:r w:rsidR="001756EC">
              <w:t>apoya</w:t>
            </w:r>
            <w:r w:rsidR="008E48AF">
              <w:t xml:space="preserve">n </w:t>
            </w:r>
            <w:r w:rsidR="001756EC">
              <w:t>y fomentan los esfuerzos para desarrollo del cultivo de peces marinos.</w:t>
            </w:r>
            <w:r w:rsidR="004F2444">
              <w:t xml:space="preserve"> </w:t>
            </w:r>
            <w:r w:rsidR="004F2444">
              <w:rPr>
                <w:i/>
              </w:rPr>
              <w:t>Beneficiarios: Profesionales ligados a desarrollo genético y nutricional de peces marinos. Patrocinador: Universidad de Antioquia. Función: socio.</w:t>
            </w:r>
          </w:p>
          <w:p w:rsidR="004F2444" w:rsidRDefault="004F2444" w:rsidP="00C00D9E">
            <w:pPr>
              <w:rPr>
                <w:i/>
              </w:rPr>
            </w:pPr>
          </w:p>
          <w:p w:rsidR="004F2444" w:rsidRDefault="00504B3A" w:rsidP="00C00D9E">
            <w:pPr>
              <w:rPr>
                <w:i/>
              </w:rPr>
            </w:pPr>
            <w:r>
              <w:rPr>
                <w:i/>
              </w:rPr>
              <w:t xml:space="preserve">México: Una rica base de conocimiento científico </w:t>
            </w:r>
            <w:r w:rsidR="0028177A">
              <w:rPr>
                <w:i/>
              </w:rPr>
              <w:t>en</w:t>
            </w:r>
            <w:r>
              <w:rPr>
                <w:i/>
              </w:rPr>
              <w:t xml:space="preserve"> diversas especies de peces marinos. Prometedores esfuerzos de empresas para desarrollar cultivos con especies marinas, en especial dentro del Golfo de California.</w:t>
            </w:r>
            <w:r w:rsidR="008E48AF">
              <w:rPr>
                <w:i/>
              </w:rPr>
              <w:t xml:space="preserve"> </w:t>
            </w:r>
            <w:r w:rsidR="004F2444">
              <w:rPr>
                <w:i/>
              </w:rPr>
              <w:t>Usuarios finales: Universidad Autónoma de Baja California Sur, con a</w:t>
            </w:r>
            <w:r w:rsidR="008E48AF">
              <w:rPr>
                <w:i/>
              </w:rPr>
              <w:t>poyo de la Secretaría de Agricultura, ganadería, desarrollo, rural, pesca y alimentación.</w:t>
            </w:r>
          </w:p>
          <w:p w:rsidR="004F2444" w:rsidRDefault="004F2444" w:rsidP="00C00D9E">
            <w:pPr>
              <w:rPr>
                <w:i/>
              </w:rPr>
            </w:pPr>
            <w:r>
              <w:rPr>
                <w:i/>
              </w:rPr>
              <w:t>Beneficiarios: Profesionales ligados a desarrollo genético y nutricional de peces marinos. Patrocinador: Universidad Autónoma de Baja California Sur.</w:t>
            </w:r>
          </w:p>
          <w:p w:rsidR="004F2444" w:rsidRDefault="004F2444" w:rsidP="00C00D9E">
            <w:pPr>
              <w:rPr>
                <w:i/>
              </w:rPr>
            </w:pPr>
          </w:p>
          <w:p w:rsidR="00B35C41" w:rsidRPr="006D665D" w:rsidRDefault="00504B3A" w:rsidP="00C00D9E">
            <w:r>
              <w:rPr>
                <w:i/>
              </w:rPr>
              <w:t xml:space="preserve">Perú:  </w:t>
            </w:r>
            <w:r w:rsidR="008E48AF">
              <w:rPr>
                <w:i/>
              </w:rPr>
              <w:t>El Instituto del Mar ha hecho experiencias con lenguado (</w:t>
            </w:r>
            <w:proofErr w:type="spellStart"/>
            <w:r w:rsidR="008713F8" w:rsidRPr="003F4028">
              <w:rPr>
                <w:i/>
              </w:rPr>
              <w:t>Paralichthys</w:t>
            </w:r>
            <w:proofErr w:type="spellEnd"/>
            <w:r w:rsidR="008713F8" w:rsidRPr="003F4028">
              <w:rPr>
                <w:i/>
              </w:rPr>
              <w:t xml:space="preserve"> </w:t>
            </w:r>
            <w:proofErr w:type="spellStart"/>
            <w:r w:rsidR="008713F8" w:rsidRPr="003F4028">
              <w:rPr>
                <w:i/>
              </w:rPr>
              <w:t>adspersus</w:t>
            </w:r>
            <w:proofErr w:type="spellEnd"/>
            <w:r w:rsidR="008E48AF">
              <w:t>)</w:t>
            </w:r>
            <w:r w:rsidR="004F2444">
              <w:t xml:space="preserve">. Usuarios finales, Instituto del Mar, </w:t>
            </w:r>
            <w:r w:rsidR="008E48AF">
              <w:t xml:space="preserve"> esfuerzos apoyados por la Dirección de Acuicultura del Ministerio de Producción.</w:t>
            </w:r>
            <w:r w:rsidR="004F2444">
              <w:t xml:space="preserve"> </w:t>
            </w:r>
            <w:r w:rsidR="004F2444">
              <w:rPr>
                <w:i/>
              </w:rPr>
              <w:t xml:space="preserve">Beneficiarios: Profesionales ligados a desarrollo genético y nutricional de peces marinos. </w:t>
            </w:r>
            <w:r w:rsidR="004F2444">
              <w:rPr>
                <w:i/>
              </w:rPr>
              <w:lastRenderedPageBreak/>
              <w:t>Patrocinador:</w:t>
            </w:r>
            <w:r w:rsidR="00E239B9">
              <w:rPr>
                <w:i/>
              </w:rPr>
              <w:t xml:space="preserve"> Instituto del Mar</w:t>
            </w:r>
            <w:r w:rsidR="004F2444">
              <w:rPr>
                <w:i/>
              </w:rPr>
              <w:t xml:space="preserve"> </w:t>
            </w:r>
          </w:p>
        </w:tc>
      </w:tr>
      <w:tr w:rsidR="00B35C41" w:rsidRPr="006D665D">
        <w:trPr>
          <w:trHeight w:val="113"/>
        </w:trPr>
        <w:tc>
          <w:tcPr>
            <w:tcW w:w="2127" w:type="dxa"/>
            <w:shd w:val="clear" w:color="auto" w:fill="D9D9D9"/>
          </w:tcPr>
          <w:p w:rsidR="00B35C41" w:rsidRPr="006D665D" w:rsidRDefault="00B35C41" w:rsidP="00C00D9E">
            <w:pPr>
              <w:jc w:val="left"/>
              <w:rPr>
                <w:b/>
                <w:sz w:val="14"/>
              </w:rPr>
            </w:pPr>
          </w:p>
        </w:tc>
        <w:tc>
          <w:tcPr>
            <w:tcW w:w="7195" w:type="dxa"/>
            <w:gridSpan w:val="6"/>
            <w:shd w:val="clear" w:color="auto" w:fill="D9D9D9"/>
          </w:tcPr>
          <w:p w:rsidR="00B35C41" w:rsidRPr="006D665D" w:rsidRDefault="00B35C41" w:rsidP="00C00D9E">
            <w:pPr>
              <w:rPr>
                <w:i/>
                <w:sz w:val="14"/>
              </w:rPr>
            </w:pPr>
          </w:p>
        </w:tc>
      </w:tr>
      <w:tr w:rsidR="00B35C41" w:rsidRPr="006D665D">
        <w:trPr>
          <w:trHeight w:val="712"/>
        </w:trPr>
        <w:tc>
          <w:tcPr>
            <w:tcW w:w="2127" w:type="dxa"/>
          </w:tcPr>
          <w:p w:rsidR="00B35C41" w:rsidRPr="006D665D" w:rsidRDefault="00B35C41" w:rsidP="00C00D9E">
            <w:pPr>
              <w:jc w:val="left"/>
              <w:rPr>
                <w:b/>
                <w:sz w:val="18"/>
              </w:rPr>
            </w:pPr>
            <w:r w:rsidRPr="006D665D">
              <w:rPr>
                <w:b/>
                <w:sz w:val="18"/>
              </w:rPr>
              <w:t>Objetivo general</w:t>
            </w:r>
            <w:r>
              <w:rPr>
                <w:b/>
                <w:sz w:val="18"/>
              </w:rPr>
              <w:t xml:space="preserve"> </w:t>
            </w:r>
            <w:r w:rsidRPr="006D665D">
              <w:rPr>
                <w:b/>
                <w:sz w:val="18"/>
              </w:rPr>
              <w:t>(u objetivo de desarrollo)</w:t>
            </w:r>
          </w:p>
          <w:p w:rsidR="00B35C41" w:rsidRPr="006D665D" w:rsidRDefault="00B35C41" w:rsidP="00C00D9E">
            <w:pPr>
              <w:jc w:val="left"/>
              <w:rPr>
                <w:b/>
                <w:sz w:val="18"/>
              </w:rPr>
            </w:pPr>
          </w:p>
        </w:tc>
        <w:tc>
          <w:tcPr>
            <w:tcW w:w="7195" w:type="dxa"/>
            <w:gridSpan w:val="6"/>
          </w:tcPr>
          <w:p w:rsidR="007163B1" w:rsidRDefault="00B061F7" w:rsidP="00896F89">
            <w:r w:rsidRPr="00B061F7"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 xml:space="preserve">Contribuir y apoyar el desarrollo </w:t>
            </w:r>
            <w:r w:rsidR="00896F89"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de in</w:t>
            </w:r>
            <w:r w:rsidR="003F4028"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i</w:t>
            </w:r>
            <w:r w:rsidR="00896F89"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 xml:space="preserve">ciativas </w:t>
            </w:r>
            <w:r w:rsidRPr="00B061F7"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de cultivo de peces marinos</w:t>
            </w:r>
            <w:r w:rsidR="00896F89"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 xml:space="preserve"> nativos</w:t>
            </w:r>
            <w:r w:rsidRPr="00B061F7"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 xml:space="preserve"> en la región, a través de mecanismos de cooperación entre instituciones científic</w:t>
            </w:r>
            <w:r w:rsidR="00896F89"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o</w:t>
            </w:r>
            <w:r w:rsidRPr="00B061F7"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 xml:space="preserve"> t</w:t>
            </w:r>
            <w:r w:rsidR="003F4028"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e</w:t>
            </w:r>
            <w:r w:rsidRPr="00B061F7"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cn</w:t>
            </w:r>
            <w:r w:rsidR="00896F89"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ológicas</w:t>
            </w:r>
            <w:r w:rsidRPr="00B061F7"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 xml:space="preserve">, para </w:t>
            </w:r>
            <w:r w:rsidR="00896F89"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definir</w:t>
            </w:r>
            <w:r w:rsidRPr="00B061F7"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896F89"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 xml:space="preserve">las herramientas del </w:t>
            </w:r>
            <w:r w:rsidRPr="00B061F7"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mejoramiento genético de los recursos ictícolas en la región, así como establecer/mejorar programas efectivos de nutrición de las especies ictícolas</w:t>
            </w:r>
            <w:r w:rsidR="00896F89"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 xml:space="preserve"> nativas.</w:t>
            </w:r>
          </w:p>
        </w:tc>
      </w:tr>
      <w:tr w:rsidR="00B35C41" w:rsidRPr="006D665D">
        <w:trPr>
          <w:trHeight w:val="113"/>
        </w:trPr>
        <w:tc>
          <w:tcPr>
            <w:tcW w:w="2127" w:type="dxa"/>
            <w:shd w:val="clear" w:color="auto" w:fill="D9D9D9"/>
          </w:tcPr>
          <w:p w:rsidR="00B35C41" w:rsidRPr="006D665D" w:rsidRDefault="00B35C41" w:rsidP="00C00D9E">
            <w:pPr>
              <w:jc w:val="left"/>
              <w:rPr>
                <w:sz w:val="16"/>
              </w:rPr>
            </w:pPr>
          </w:p>
        </w:tc>
        <w:tc>
          <w:tcPr>
            <w:tcW w:w="7195" w:type="dxa"/>
            <w:gridSpan w:val="6"/>
            <w:shd w:val="clear" w:color="auto" w:fill="D9D9D9"/>
          </w:tcPr>
          <w:p w:rsidR="00B35C41" w:rsidRPr="006D665D" w:rsidRDefault="00B35C41" w:rsidP="00C00D9E">
            <w:pPr>
              <w:rPr>
                <w:i/>
                <w:sz w:val="16"/>
              </w:rPr>
            </w:pPr>
          </w:p>
        </w:tc>
      </w:tr>
      <w:tr w:rsidR="00B35C41" w:rsidRPr="006D665D">
        <w:trPr>
          <w:trHeight w:val="255"/>
        </w:trPr>
        <w:tc>
          <w:tcPr>
            <w:tcW w:w="2127" w:type="dxa"/>
          </w:tcPr>
          <w:p w:rsidR="00B35C41" w:rsidRPr="006D665D" w:rsidRDefault="00B35C41" w:rsidP="00C00D9E">
            <w:pPr>
              <w:pStyle w:val="Sinespaciado"/>
            </w:pPr>
            <w:r w:rsidRPr="00CA30D7">
              <w:rPr>
                <w:b/>
                <w:sz w:val="18"/>
              </w:rPr>
              <w:t>Análisis de los objetivos</w:t>
            </w:r>
          </w:p>
        </w:tc>
        <w:tc>
          <w:tcPr>
            <w:tcW w:w="7195" w:type="dxa"/>
            <w:gridSpan w:val="6"/>
          </w:tcPr>
          <w:p w:rsidR="003F3828" w:rsidRDefault="00ED585B" w:rsidP="00C00D9E">
            <w:pPr>
              <w:keepNext/>
              <w:keepLines/>
              <w:rPr>
                <w:i/>
              </w:rPr>
            </w:pPr>
            <w:r w:rsidRPr="00ED585B">
              <w:rPr>
                <w:noProof/>
                <w:lang w:val="en-US" w:eastAsia="en-US"/>
              </w:rPr>
              <w:drawing>
                <wp:inline distT="0" distB="0" distL="0" distR="0" wp14:anchorId="7E3F15F4" wp14:editId="553A2029">
                  <wp:extent cx="4431665" cy="2345690"/>
                  <wp:effectExtent l="0" t="0" r="698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1665" cy="234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5C41" w:rsidRPr="006D665D" w:rsidRDefault="00B35C41" w:rsidP="00C00D9E">
            <w:pPr>
              <w:keepNext/>
              <w:keepLines/>
            </w:pPr>
          </w:p>
        </w:tc>
      </w:tr>
      <w:tr w:rsidR="00B35C41" w:rsidRPr="006D665D">
        <w:trPr>
          <w:trHeight w:val="115"/>
        </w:trPr>
        <w:tc>
          <w:tcPr>
            <w:tcW w:w="2127" w:type="dxa"/>
            <w:shd w:val="clear" w:color="auto" w:fill="D9D9D9"/>
          </w:tcPr>
          <w:p w:rsidR="00B35C41" w:rsidRPr="006D665D" w:rsidRDefault="00B35C41" w:rsidP="00C00D9E">
            <w:pPr>
              <w:jc w:val="left"/>
              <w:rPr>
                <w:b/>
                <w:sz w:val="10"/>
              </w:rPr>
            </w:pPr>
          </w:p>
        </w:tc>
        <w:tc>
          <w:tcPr>
            <w:tcW w:w="7195" w:type="dxa"/>
            <w:gridSpan w:val="6"/>
            <w:shd w:val="clear" w:color="auto" w:fill="D9D9D9"/>
          </w:tcPr>
          <w:p w:rsidR="00B35C41" w:rsidRPr="006D665D" w:rsidRDefault="00B35C41" w:rsidP="00C00D9E">
            <w:pPr>
              <w:rPr>
                <w:i/>
                <w:sz w:val="10"/>
              </w:rPr>
            </w:pPr>
          </w:p>
        </w:tc>
      </w:tr>
      <w:tr w:rsidR="00B35C41" w:rsidRPr="006D665D">
        <w:trPr>
          <w:trHeight w:val="915"/>
        </w:trPr>
        <w:tc>
          <w:tcPr>
            <w:tcW w:w="2127" w:type="dxa"/>
          </w:tcPr>
          <w:p w:rsidR="00B35C41" w:rsidRPr="006D665D" w:rsidRDefault="00B35C41" w:rsidP="00C00D9E">
            <w:pPr>
              <w:jc w:val="left"/>
            </w:pPr>
            <w:r w:rsidRPr="006D665D">
              <w:rPr>
                <w:b/>
                <w:sz w:val="18"/>
              </w:rPr>
              <w:t>Función de la tecnología nuclear y el OIEA</w:t>
            </w:r>
          </w:p>
        </w:tc>
        <w:tc>
          <w:tcPr>
            <w:tcW w:w="7195" w:type="dxa"/>
            <w:gridSpan w:val="6"/>
          </w:tcPr>
          <w:p w:rsidR="00A76B45" w:rsidRPr="00B24567" w:rsidRDefault="00A76B45" w:rsidP="00A76B45">
            <w:pPr>
              <w:rPr>
                <w:i/>
                <w:color w:val="auto"/>
              </w:rPr>
            </w:pPr>
            <w:r w:rsidRPr="00B24567">
              <w:rPr>
                <w:i/>
                <w:color w:val="auto"/>
              </w:rPr>
              <w:t xml:space="preserve">Existen técnicas nucleares para el manejo </w:t>
            </w:r>
            <w:proofErr w:type="spellStart"/>
            <w:r w:rsidRPr="00B24567">
              <w:rPr>
                <w:i/>
                <w:color w:val="auto"/>
              </w:rPr>
              <w:t>genetico</w:t>
            </w:r>
            <w:proofErr w:type="spellEnd"/>
            <w:r w:rsidRPr="00B24567">
              <w:rPr>
                <w:i/>
                <w:color w:val="auto"/>
              </w:rPr>
              <w:t xml:space="preserve"> y los estudios</w:t>
            </w:r>
            <w:r w:rsidR="00B24567" w:rsidRPr="00B24567">
              <w:rPr>
                <w:i/>
                <w:color w:val="auto"/>
              </w:rPr>
              <w:t xml:space="preserve"> sobre el mejoramiento nutricional en peces</w:t>
            </w:r>
            <w:r w:rsidRPr="00B24567">
              <w:rPr>
                <w:i/>
                <w:color w:val="auto"/>
              </w:rPr>
              <w:t xml:space="preserve">, estas técnicas tienen un alto </w:t>
            </w:r>
            <w:proofErr w:type="gramStart"/>
            <w:r w:rsidRPr="00B24567">
              <w:rPr>
                <w:i/>
                <w:color w:val="auto"/>
              </w:rPr>
              <w:t>costo</w:t>
            </w:r>
            <w:proofErr w:type="gramEnd"/>
            <w:r w:rsidRPr="00B24567">
              <w:rPr>
                <w:i/>
                <w:color w:val="auto"/>
              </w:rPr>
              <w:t xml:space="preserve"> pero son bastante precisas y se pueden utilizar </w:t>
            </w:r>
            <w:r w:rsidR="00B24567" w:rsidRPr="00B24567">
              <w:rPr>
                <w:i/>
                <w:color w:val="auto"/>
              </w:rPr>
              <w:t xml:space="preserve">incluso </w:t>
            </w:r>
            <w:r w:rsidRPr="00B24567">
              <w:rPr>
                <w:i/>
                <w:color w:val="auto"/>
              </w:rPr>
              <w:t>en animales vivos, sin necesidad de realizar sacrificios, cont</w:t>
            </w:r>
            <w:r w:rsidR="00B24567" w:rsidRPr="00B24567">
              <w:rPr>
                <w:i/>
                <w:color w:val="auto"/>
              </w:rPr>
              <w:t>r</w:t>
            </w:r>
            <w:r w:rsidRPr="00B24567">
              <w:rPr>
                <w:i/>
                <w:color w:val="auto"/>
              </w:rPr>
              <w:t>ario a los que sucede en la técnicas co</w:t>
            </w:r>
            <w:r w:rsidR="00171879" w:rsidRPr="00B24567">
              <w:rPr>
                <w:i/>
                <w:color w:val="auto"/>
              </w:rPr>
              <w:t>n</w:t>
            </w:r>
            <w:r w:rsidRPr="00B24567">
              <w:rPr>
                <w:i/>
                <w:color w:val="auto"/>
              </w:rPr>
              <w:t>ve</w:t>
            </w:r>
            <w:r w:rsidR="00171879" w:rsidRPr="00B24567">
              <w:rPr>
                <w:i/>
                <w:color w:val="auto"/>
              </w:rPr>
              <w:t>nci</w:t>
            </w:r>
            <w:r w:rsidRPr="00B24567">
              <w:rPr>
                <w:i/>
                <w:color w:val="auto"/>
              </w:rPr>
              <w:t>onales.</w:t>
            </w:r>
            <w:r w:rsidR="006A64BD" w:rsidRPr="00B24567">
              <w:rPr>
                <w:i/>
                <w:color w:val="auto"/>
              </w:rPr>
              <w:t xml:space="preserve"> </w:t>
            </w:r>
            <w:r w:rsidR="00B24567" w:rsidRPr="00B24567">
              <w:rPr>
                <w:i/>
                <w:color w:val="auto"/>
              </w:rPr>
              <w:t>P</w:t>
            </w:r>
            <w:r w:rsidR="00AE279D" w:rsidRPr="00B24567">
              <w:rPr>
                <w:i/>
                <w:color w:val="auto"/>
              </w:rPr>
              <w:t xml:space="preserve">or </w:t>
            </w:r>
            <w:r w:rsidR="006A64BD" w:rsidRPr="00B24567">
              <w:rPr>
                <w:i/>
                <w:color w:val="auto"/>
              </w:rPr>
              <w:t xml:space="preserve">ejemplo </w:t>
            </w:r>
            <w:r w:rsidR="00B24567" w:rsidRPr="00B24567">
              <w:rPr>
                <w:i/>
                <w:color w:val="auto"/>
              </w:rPr>
              <w:t xml:space="preserve">se pueden usar </w:t>
            </w:r>
            <w:r w:rsidR="006A64BD" w:rsidRPr="00B24567">
              <w:rPr>
                <w:i/>
                <w:color w:val="auto"/>
              </w:rPr>
              <w:t xml:space="preserve">técnicas </w:t>
            </w:r>
            <w:r w:rsidR="00B24567" w:rsidRPr="00B24567">
              <w:rPr>
                <w:i/>
                <w:color w:val="auto"/>
              </w:rPr>
              <w:t>con e</w:t>
            </w:r>
            <w:r w:rsidR="006A64BD" w:rsidRPr="00B24567">
              <w:rPr>
                <w:i/>
                <w:color w:val="auto"/>
              </w:rPr>
              <w:t>quipo</w:t>
            </w:r>
            <w:r w:rsidR="00B24567" w:rsidRPr="00B24567">
              <w:rPr>
                <w:i/>
                <w:color w:val="auto"/>
              </w:rPr>
              <w:t>s</w:t>
            </w:r>
            <w:r w:rsidR="006A64BD" w:rsidRPr="00B24567">
              <w:rPr>
                <w:i/>
                <w:color w:val="auto"/>
              </w:rPr>
              <w:t xml:space="preserve"> de espectrometría de masas de isótopos estables</w:t>
            </w:r>
            <w:r w:rsidR="00171879" w:rsidRPr="00B24567">
              <w:rPr>
                <w:i/>
                <w:color w:val="auto"/>
              </w:rPr>
              <w:t xml:space="preserve">, </w:t>
            </w:r>
            <w:proofErr w:type="spellStart"/>
            <w:r w:rsidR="00171879" w:rsidRPr="00B24567">
              <w:rPr>
                <w:rStyle w:val="nfasis"/>
                <w:bCs/>
                <w:i w:val="0"/>
                <w:iCs w:val="0"/>
                <w:color w:val="auto"/>
                <w:shd w:val="clear" w:color="auto" w:fill="FFFFFF"/>
              </w:rPr>
              <w:t>espectroscopía</w:t>
            </w:r>
            <w:proofErr w:type="spellEnd"/>
            <w:r w:rsidR="00171879" w:rsidRPr="00B24567">
              <w:rPr>
                <w:rStyle w:val="nfasis"/>
                <w:bCs/>
                <w:i w:val="0"/>
                <w:iCs w:val="0"/>
                <w:color w:val="auto"/>
                <w:shd w:val="clear" w:color="auto" w:fill="FFFFFF"/>
              </w:rPr>
              <w:t xml:space="preserve"> </w:t>
            </w:r>
            <w:r w:rsidR="00171879" w:rsidRPr="00B24567">
              <w:rPr>
                <w:color w:val="auto"/>
                <w:shd w:val="clear" w:color="auto" w:fill="FFFFFF"/>
              </w:rPr>
              <w:t>de resonancia magnética nuclear (RMN)</w:t>
            </w:r>
            <w:r w:rsidR="00B24567" w:rsidRPr="00B24567">
              <w:rPr>
                <w:i/>
                <w:color w:val="auto"/>
              </w:rPr>
              <w:t xml:space="preserve">, técnicas de </w:t>
            </w:r>
            <w:proofErr w:type="spellStart"/>
            <w:r w:rsidR="00B24567" w:rsidRPr="00B24567">
              <w:rPr>
                <w:rStyle w:val="nfasis"/>
                <w:bCs/>
                <w:i w:val="0"/>
                <w:iCs w:val="0"/>
                <w:color w:val="auto"/>
                <w:shd w:val="clear" w:color="auto" w:fill="FFFFFF"/>
              </w:rPr>
              <w:t>hormesis</w:t>
            </w:r>
            <w:proofErr w:type="spellEnd"/>
            <w:r w:rsidR="00B24567" w:rsidRPr="00B24567">
              <w:rPr>
                <w:color w:val="auto"/>
                <w:shd w:val="clear" w:color="auto" w:fill="FFFFFF"/>
              </w:rPr>
              <w:t xml:space="preserve"> por </w:t>
            </w:r>
            <w:r w:rsidR="00B24567" w:rsidRPr="00B24567">
              <w:rPr>
                <w:rStyle w:val="nfasis"/>
                <w:bCs/>
                <w:i w:val="0"/>
                <w:iCs w:val="0"/>
                <w:color w:val="auto"/>
                <w:shd w:val="clear" w:color="auto" w:fill="FFFFFF"/>
              </w:rPr>
              <w:t>radiación.</w:t>
            </w:r>
          </w:p>
          <w:p w:rsidR="00A76B45" w:rsidRPr="00B24567" w:rsidRDefault="00A76B45" w:rsidP="00A76B45">
            <w:pPr>
              <w:rPr>
                <w:i/>
                <w:color w:val="auto"/>
              </w:rPr>
            </w:pPr>
            <w:r w:rsidRPr="00B24567">
              <w:rPr>
                <w:i/>
                <w:color w:val="auto"/>
              </w:rPr>
              <w:t>El grupo multidisciplinario, durante el proyecto, definirá cual</w:t>
            </w:r>
            <w:r w:rsidR="00B24567" w:rsidRPr="00B24567">
              <w:rPr>
                <w:i/>
                <w:color w:val="auto"/>
              </w:rPr>
              <w:t>es</w:t>
            </w:r>
            <w:r w:rsidRPr="00B24567">
              <w:rPr>
                <w:i/>
                <w:color w:val="auto"/>
              </w:rPr>
              <w:t xml:space="preserve"> de ellas </w:t>
            </w:r>
            <w:r w:rsidR="00B24567" w:rsidRPr="00B24567">
              <w:rPr>
                <w:i/>
                <w:color w:val="auto"/>
              </w:rPr>
              <w:t>son más más idó</w:t>
            </w:r>
            <w:r w:rsidRPr="00B24567">
              <w:rPr>
                <w:i/>
                <w:color w:val="auto"/>
              </w:rPr>
              <w:t>nea</w:t>
            </w:r>
            <w:r w:rsidR="00B24567" w:rsidRPr="00B24567">
              <w:rPr>
                <w:i/>
                <w:color w:val="auto"/>
              </w:rPr>
              <w:t>s</w:t>
            </w:r>
            <w:r w:rsidRPr="00B24567">
              <w:rPr>
                <w:i/>
                <w:color w:val="auto"/>
              </w:rPr>
              <w:t xml:space="preserve"> para su uso, considerado la inocuidad alimentaria y la optimización de la producción.</w:t>
            </w:r>
          </w:p>
          <w:p w:rsidR="00B35C41" w:rsidRPr="006D665D" w:rsidRDefault="00A76B45" w:rsidP="00C00D9E">
            <w:r w:rsidRPr="00B24567">
              <w:rPr>
                <w:i/>
                <w:color w:val="auto"/>
              </w:rPr>
              <w:t>La OIEA, deberá apoyarnos en la selección de la</w:t>
            </w:r>
            <w:r w:rsidR="00B24567" w:rsidRPr="00B24567">
              <w:rPr>
                <w:i/>
                <w:color w:val="auto"/>
              </w:rPr>
              <w:t>s</w:t>
            </w:r>
            <w:r w:rsidRPr="00B24567">
              <w:rPr>
                <w:i/>
                <w:color w:val="auto"/>
              </w:rPr>
              <w:t xml:space="preserve"> técnica</w:t>
            </w:r>
            <w:r w:rsidR="00B24567" w:rsidRPr="00B24567">
              <w:rPr>
                <w:i/>
                <w:color w:val="auto"/>
              </w:rPr>
              <w:t>s</w:t>
            </w:r>
            <w:r w:rsidRPr="00B24567">
              <w:rPr>
                <w:i/>
                <w:color w:val="auto"/>
              </w:rPr>
              <w:t xml:space="preserve"> más idónea para el est</w:t>
            </w:r>
            <w:r w:rsidR="00B24567" w:rsidRPr="00B24567">
              <w:rPr>
                <w:i/>
                <w:color w:val="auto"/>
              </w:rPr>
              <w:t>u</w:t>
            </w:r>
            <w:r w:rsidRPr="00B24567">
              <w:rPr>
                <w:i/>
                <w:color w:val="auto"/>
              </w:rPr>
              <w:t>dio nutricional y genético</w:t>
            </w:r>
            <w:r w:rsidR="0028177A" w:rsidRPr="00B24567">
              <w:rPr>
                <w:i/>
                <w:color w:val="auto"/>
              </w:rPr>
              <w:t xml:space="preserve"> </w:t>
            </w:r>
          </w:p>
        </w:tc>
      </w:tr>
      <w:tr w:rsidR="00B35C41" w:rsidRPr="006D665D">
        <w:trPr>
          <w:trHeight w:val="113"/>
        </w:trPr>
        <w:tc>
          <w:tcPr>
            <w:tcW w:w="2127" w:type="dxa"/>
            <w:shd w:val="clear" w:color="auto" w:fill="D9D9D9"/>
          </w:tcPr>
          <w:p w:rsidR="00B35C41" w:rsidRPr="006D665D" w:rsidRDefault="006A64BD" w:rsidP="00C00D9E">
            <w:pPr>
              <w:jc w:val="left"/>
              <w:rPr>
                <w:sz w:val="12"/>
              </w:rPr>
            </w:pPr>
            <w:r>
              <w:rPr>
                <w:sz w:val="12"/>
              </w:rPr>
              <w:t xml:space="preserve">De </w:t>
            </w:r>
          </w:p>
        </w:tc>
        <w:tc>
          <w:tcPr>
            <w:tcW w:w="7195" w:type="dxa"/>
            <w:gridSpan w:val="6"/>
            <w:shd w:val="clear" w:color="auto" w:fill="D9D9D9"/>
          </w:tcPr>
          <w:p w:rsidR="00B35C41" w:rsidRPr="006D665D" w:rsidRDefault="00B35C41" w:rsidP="00C00D9E">
            <w:pPr>
              <w:rPr>
                <w:i/>
                <w:sz w:val="12"/>
              </w:rPr>
            </w:pPr>
          </w:p>
        </w:tc>
      </w:tr>
      <w:tr w:rsidR="00B35C41" w:rsidRPr="006D665D">
        <w:trPr>
          <w:trHeight w:val="695"/>
        </w:trPr>
        <w:tc>
          <w:tcPr>
            <w:tcW w:w="2127" w:type="dxa"/>
          </w:tcPr>
          <w:p w:rsidR="00B35C41" w:rsidRPr="006D665D" w:rsidRDefault="00B35C41" w:rsidP="00C00D9E">
            <w:pPr>
              <w:jc w:val="left"/>
            </w:pPr>
            <w:r w:rsidRPr="006D665D">
              <w:rPr>
                <w:b/>
                <w:sz w:val="18"/>
              </w:rPr>
              <w:t>Duración del</w:t>
            </w:r>
            <w:r>
              <w:rPr>
                <w:b/>
                <w:sz w:val="18"/>
              </w:rPr>
              <w:t xml:space="preserve"> </w:t>
            </w:r>
            <w:r w:rsidRPr="006D665D">
              <w:rPr>
                <w:b/>
                <w:sz w:val="18"/>
              </w:rPr>
              <w:t>proyecto</w:t>
            </w:r>
          </w:p>
        </w:tc>
        <w:tc>
          <w:tcPr>
            <w:tcW w:w="7195" w:type="dxa"/>
            <w:gridSpan w:val="6"/>
          </w:tcPr>
          <w:p w:rsidR="00B35C41" w:rsidRPr="006D665D" w:rsidRDefault="00AF792D" w:rsidP="00C00D9E">
            <w:r>
              <w:rPr>
                <w:i/>
              </w:rPr>
              <w:t xml:space="preserve">Enero 2020 a noviembre 2024  </w:t>
            </w:r>
          </w:p>
        </w:tc>
      </w:tr>
      <w:tr w:rsidR="00B35C41" w:rsidRPr="006D665D">
        <w:trPr>
          <w:trHeight w:val="765"/>
        </w:trPr>
        <w:tc>
          <w:tcPr>
            <w:tcW w:w="2127" w:type="dxa"/>
          </w:tcPr>
          <w:p w:rsidR="00B35C41" w:rsidRPr="006D665D" w:rsidRDefault="00B35C41" w:rsidP="00C00D9E">
            <w:pPr>
              <w:jc w:val="left"/>
            </w:pPr>
            <w:r w:rsidRPr="006D665D">
              <w:rPr>
                <w:b/>
                <w:sz w:val="18"/>
              </w:rPr>
              <w:t>Requisitos</w:t>
            </w:r>
            <w:r>
              <w:rPr>
                <w:b/>
                <w:sz w:val="18"/>
              </w:rPr>
              <w:t xml:space="preserve"> </w:t>
            </w:r>
            <w:r w:rsidRPr="006D665D">
              <w:rPr>
                <w:b/>
                <w:sz w:val="18"/>
              </w:rPr>
              <w:t>de</w:t>
            </w:r>
            <w:r>
              <w:rPr>
                <w:b/>
                <w:sz w:val="18"/>
              </w:rPr>
              <w:t xml:space="preserve"> </w:t>
            </w:r>
            <w:r w:rsidRPr="006D665D">
              <w:rPr>
                <w:b/>
                <w:sz w:val="18"/>
              </w:rPr>
              <w:t>participación</w:t>
            </w:r>
          </w:p>
        </w:tc>
        <w:tc>
          <w:tcPr>
            <w:tcW w:w="7195" w:type="dxa"/>
            <w:gridSpan w:val="6"/>
          </w:tcPr>
          <w:p w:rsidR="007163B1" w:rsidRDefault="00AF792D">
            <w:r>
              <w:rPr>
                <w:i/>
              </w:rPr>
              <w:t xml:space="preserve">Tener al menos un laboratorio que haya realizado estudios comprobados (informes, reportes, artículos) accesibles por internet, con especies de peces marinos no exóticos </w:t>
            </w:r>
          </w:p>
        </w:tc>
      </w:tr>
      <w:tr w:rsidR="00B35C41" w:rsidRPr="006D665D">
        <w:trPr>
          <w:trHeight w:val="510"/>
        </w:trPr>
        <w:tc>
          <w:tcPr>
            <w:tcW w:w="2127" w:type="dxa"/>
          </w:tcPr>
          <w:p w:rsidR="00B35C41" w:rsidRPr="006D665D" w:rsidRDefault="00B35C41" w:rsidP="00C00D9E">
            <w:pPr>
              <w:jc w:val="left"/>
            </w:pPr>
            <w:r w:rsidRPr="006D665D">
              <w:rPr>
                <w:b/>
                <w:sz w:val="18"/>
              </w:rPr>
              <w:t>Estados</w:t>
            </w:r>
            <w:r>
              <w:rPr>
                <w:b/>
                <w:sz w:val="18"/>
              </w:rPr>
              <w:t xml:space="preserve"> </w:t>
            </w:r>
            <w:r w:rsidRPr="006D665D">
              <w:rPr>
                <w:b/>
                <w:sz w:val="18"/>
              </w:rPr>
              <w:t>Miembros</w:t>
            </w:r>
            <w:r>
              <w:rPr>
                <w:b/>
                <w:sz w:val="18"/>
              </w:rPr>
              <w:t xml:space="preserve"> </w:t>
            </w:r>
            <w:r w:rsidRPr="006D665D">
              <w:rPr>
                <w:b/>
                <w:sz w:val="18"/>
              </w:rPr>
              <w:t>participantes</w:t>
            </w:r>
          </w:p>
        </w:tc>
        <w:tc>
          <w:tcPr>
            <w:tcW w:w="7195" w:type="dxa"/>
            <w:gridSpan w:val="6"/>
          </w:tcPr>
          <w:p w:rsidR="00B35C41" w:rsidRDefault="00B35C41" w:rsidP="00C00D9E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6D665D">
              <w:rPr>
                <w:i/>
              </w:rPr>
              <w:t>País:</w:t>
            </w:r>
            <w:r>
              <w:rPr>
                <w:i/>
              </w:rPr>
              <w:t xml:space="preserve"> Chile</w:t>
            </w:r>
            <w:r w:rsidR="00AF792D">
              <w:rPr>
                <w:i/>
              </w:rPr>
              <w:t xml:space="preserve">           </w:t>
            </w:r>
            <w:r>
              <w:rPr>
                <w:i/>
              </w:rPr>
              <w:t xml:space="preserve"> </w:t>
            </w:r>
            <w:r w:rsidRPr="006D665D">
              <w:rPr>
                <w:i/>
              </w:rPr>
              <w:t>Función:</w:t>
            </w:r>
            <w:r>
              <w:rPr>
                <w:i/>
              </w:rPr>
              <w:t xml:space="preserve">  Coordinador</w:t>
            </w:r>
          </w:p>
          <w:p w:rsidR="00B35C41" w:rsidRDefault="00B35C41" w:rsidP="00C00D9E">
            <w:pPr>
              <w:rPr>
                <w:i/>
              </w:rPr>
            </w:pPr>
            <w:r>
              <w:rPr>
                <w:i/>
              </w:rPr>
              <w:t xml:space="preserve">País: Costa Rica  Función: </w:t>
            </w:r>
            <w:r w:rsidR="00AF792D">
              <w:rPr>
                <w:i/>
              </w:rPr>
              <w:t>Subcoordinador Centroam</w:t>
            </w:r>
            <w:r w:rsidR="00ED585B">
              <w:rPr>
                <w:i/>
              </w:rPr>
              <w:t>é</w:t>
            </w:r>
            <w:r w:rsidR="00AF792D">
              <w:rPr>
                <w:i/>
              </w:rPr>
              <w:t>rica , México y Caribe</w:t>
            </w:r>
          </w:p>
          <w:p w:rsidR="00B35C41" w:rsidRDefault="00B35C41" w:rsidP="00C00D9E">
            <w:pPr>
              <w:rPr>
                <w:i/>
              </w:rPr>
            </w:pPr>
            <w:r>
              <w:rPr>
                <w:i/>
              </w:rPr>
              <w:t xml:space="preserve">País: Colombia    Función: Contraparte    </w:t>
            </w:r>
          </w:p>
          <w:p w:rsidR="00A76B45" w:rsidRDefault="00A76B45" w:rsidP="00C00D9E">
            <w:pPr>
              <w:rPr>
                <w:i/>
              </w:rPr>
            </w:pPr>
            <w:r>
              <w:rPr>
                <w:i/>
              </w:rPr>
              <w:t xml:space="preserve">País: </w:t>
            </w:r>
            <w:proofErr w:type="spellStart"/>
            <w:r>
              <w:rPr>
                <w:i/>
              </w:rPr>
              <w:t>Mexico</w:t>
            </w:r>
            <w:proofErr w:type="spellEnd"/>
            <w:r>
              <w:rPr>
                <w:i/>
              </w:rPr>
              <w:t xml:space="preserve">       Función: Contraparte    </w:t>
            </w:r>
          </w:p>
          <w:p w:rsidR="00A76B45" w:rsidRPr="006D665D" w:rsidRDefault="00A76B45" w:rsidP="00C00D9E">
            <w:r>
              <w:rPr>
                <w:i/>
              </w:rPr>
              <w:t xml:space="preserve">País: Perú           Función: Contraparte    </w:t>
            </w:r>
          </w:p>
          <w:p w:rsidR="00B35C41" w:rsidRPr="006D665D" w:rsidRDefault="00B35C41" w:rsidP="00C00D9E">
            <w:pPr>
              <w:pStyle w:val="Prrafodelista"/>
              <w:numPr>
                <w:ilvl w:val="3"/>
                <w:numId w:val="1"/>
              </w:numPr>
              <w:spacing w:after="0" w:line="240" w:lineRule="auto"/>
              <w:ind w:left="2153" w:hanging="284"/>
              <w:rPr>
                <w:rFonts w:ascii="Times New Roman" w:hAnsi="Times New Roman" w:cs="Times New Roman"/>
                <w:i/>
                <w:sz w:val="20"/>
                <w:lang w:val="es-MX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es-MX"/>
              </w:rPr>
              <w:lastRenderedPageBreak/>
              <w:t xml:space="preserve">X </w:t>
            </w:r>
            <w:r w:rsidRPr="006D665D">
              <w:rPr>
                <w:rFonts w:ascii="Times New Roman" w:hAnsi="Times New Roman" w:cs="Times New Roman"/>
                <w:i/>
                <w:sz w:val="20"/>
                <w:lang w:val="es-MX"/>
              </w:rPr>
              <w:t>Recurso (aporta conocimientos</w:t>
            </w:r>
            <w:r>
              <w:rPr>
                <w:rFonts w:ascii="Times New Roman" w:hAnsi="Times New Roman" w:cs="Times New Roman"/>
                <w:i/>
                <w:sz w:val="20"/>
                <w:lang w:val="es-MX"/>
              </w:rPr>
              <w:t xml:space="preserve"> </w:t>
            </w:r>
            <w:r w:rsidRPr="006D665D">
              <w:rPr>
                <w:rFonts w:ascii="Times New Roman" w:hAnsi="Times New Roman" w:cs="Times New Roman"/>
                <w:i/>
                <w:sz w:val="20"/>
                <w:lang w:val="es-MX"/>
              </w:rPr>
              <w:t>especializados)</w:t>
            </w:r>
          </w:p>
          <w:p w:rsidR="00B35C41" w:rsidRPr="000675E6" w:rsidRDefault="00B35C41" w:rsidP="00C00D9E">
            <w:pPr>
              <w:pStyle w:val="Prrafodelista"/>
              <w:numPr>
                <w:ilvl w:val="3"/>
                <w:numId w:val="1"/>
              </w:numPr>
              <w:spacing w:after="0" w:line="240" w:lineRule="auto"/>
              <w:ind w:left="2153" w:hanging="284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es-MX"/>
              </w:rPr>
              <w:t xml:space="preserve">X </w:t>
            </w:r>
            <w:r w:rsidRPr="006D665D">
              <w:rPr>
                <w:rFonts w:ascii="Times New Roman" w:hAnsi="Times New Roman" w:cs="Times New Roman"/>
                <w:i/>
                <w:sz w:val="20"/>
                <w:lang w:val="es-MX"/>
              </w:rPr>
              <w:t>Destinatario (recibe conocimientos</w:t>
            </w:r>
            <w:r>
              <w:rPr>
                <w:rFonts w:ascii="Times New Roman" w:hAnsi="Times New Roman" w:cs="Times New Roman"/>
                <w:i/>
                <w:sz w:val="20"/>
                <w:lang w:val="es-MX"/>
              </w:rPr>
              <w:t xml:space="preserve"> </w:t>
            </w:r>
            <w:r w:rsidRPr="006D665D">
              <w:rPr>
                <w:rFonts w:ascii="Times New Roman" w:hAnsi="Times New Roman" w:cs="Times New Roman"/>
                <w:i/>
                <w:sz w:val="20"/>
                <w:lang w:val="es-MX"/>
              </w:rPr>
              <w:t>especializados)</w:t>
            </w:r>
          </w:p>
          <w:p w:rsidR="00B35C41" w:rsidRPr="006D665D" w:rsidRDefault="00B35C41" w:rsidP="00C00D9E">
            <w:pPr>
              <w:pStyle w:val="Prrafodelista"/>
              <w:spacing w:after="0" w:line="240" w:lineRule="auto"/>
              <w:ind w:left="3577"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B35C41" w:rsidRPr="006D665D">
        <w:trPr>
          <w:trHeight w:val="113"/>
        </w:trPr>
        <w:tc>
          <w:tcPr>
            <w:tcW w:w="2127" w:type="dxa"/>
            <w:shd w:val="clear" w:color="auto" w:fill="D9D9D9"/>
          </w:tcPr>
          <w:p w:rsidR="00B35C41" w:rsidRPr="006D665D" w:rsidRDefault="00B35C41" w:rsidP="00C00D9E">
            <w:pPr>
              <w:jc w:val="left"/>
              <w:rPr>
                <w:sz w:val="16"/>
              </w:rPr>
            </w:pPr>
          </w:p>
        </w:tc>
        <w:tc>
          <w:tcPr>
            <w:tcW w:w="7195" w:type="dxa"/>
            <w:gridSpan w:val="6"/>
            <w:shd w:val="clear" w:color="auto" w:fill="D9D9D9"/>
          </w:tcPr>
          <w:p w:rsidR="00B35C41" w:rsidRPr="006D665D" w:rsidRDefault="00B35C41" w:rsidP="00C00D9E">
            <w:pPr>
              <w:rPr>
                <w:i/>
                <w:sz w:val="16"/>
              </w:rPr>
            </w:pPr>
          </w:p>
        </w:tc>
      </w:tr>
      <w:tr w:rsidR="00B35C41" w:rsidRPr="006D665D">
        <w:trPr>
          <w:trHeight w:val="378"/>
        </w:trPr>
        <w:tc>
          <w:tcPr>
            <w:tcW w:w="2127" w:type="dxa"/>
            <w:vMerge w:val="restart"/>
          </w:tcPr>
          <w:p w:rsidR="00B35C41" w:rsidRPr="006D665D" w:rsidRDefault="00B35C41" w:rsidP="00C00D9E">
            <w:pPr>
              <w:jc w:val="left"/>
            </w:pPr>
            <w:r w:rsidRPr="006D665D">
              <w:rPr>
                <w:b/>
                <w:sz w:val="18"/>
              </w:rPr>
              <w:t>Financiación y presupuesto del proyecto</w:t>
            </w:r>
          </w:p>
        </w:tc>
        <w:tc>
          <w:tcPr>
            <w:tcW w:w="7195" w:type="dxa"/>
            <w:gridSpan w:val="6"/>
          </w:tcPr>
          <w:p w:rsidR="00B35C41" w:rsidRPr="006D665D" w:rsidRDefault="00B35C41" w:rsidP="00C00D9E">
            <w:pPr>
              <w:jc w:val="left"/>
            </w:pPr>
            <w:r w:rsidRPr="006D665D">
              <w:rPr>
                <w:i/>
              </w:rPr>
              <w:t>Proporcione una estimación de los costos totales del proyecto y de los fondos que se prevé recibir de cada parte interesada.</w:t>
            </w:r>
          </w:p>
        </w:tc>
      </w:tr>
      <w:tr w:rsidR="00B35C41" w:rsidRPr="006D665D">
        <w:trPr>
          <w:trHeight w:val="174"/>
        </w:trPr>
        <w:tc>
          <w:tcPr>
            <w:tcW w:w="2127" w:type="dxa"/>
            <w:vMerge/>
          </w:tcPr>
          <w:p w:rsidR="00B35C41" w:rsidRPr="006D665D" w:rsidRDefault="00B35C41" w:rsidP="00C00D9E">
            <w:pPr>
              <w:rPr>
                <w:b/>
                <w:sz w:val="18"/>
              </w:rPr>
            </w:pPr>
          </w:p>
        </w:tc>
        <w:tc>
          <w:tcPr>
            <w:tcW w:w="3402" w:type="dxa"/>
            <w:gridSpan w:val="3"/>
          </w:tcPr>
          <w:p w:rsidR="00B35C41" w:rsidRPr="006D665D" w:rsidRDefault="00B35C41" w:rsidP="00C00D9E">
            <w:pPr>
              <w:jc w:val="left"/>
              <w:rPr>
                <w:i/>
              </w:rPr>
            </w:pPr>
          </w:p>
        </w:tc>
        <w:tc>
          <w:tcPr>
            <w:tcW w:w="1844" w:type="dxa"/>
          </w:tcPr>
          <w:p w:rsidR="00B35C41" w:rsidRPr="006D665D" w:rsidRDefault="00B35C41" w:rsidP="00C00D9E">
            <w:pPr>
              <w:jc w:val="left"/>
            </w:pPr>
            <w:r w:rsidRPr="006D665D">
              <w:t>Euros</w:t>
            </w:r>
          </w:p>
        </w:tc>
        <w:tc>
          <w:tcPr>
            <w:tcW w:w="1949" w:type="dxa"/>
            <w:gridSpan w:val="2"/>
          </w:tcPr>
          <w:p w:rsidR="00B35C41" w:rsidRPr="006D665D" w:rsidRDefault="00B35C41" w:rsidP="00C00D9E">
            <w:pPr>
              <w:jc w:val="left"/>
            </w:pPr>
            <w:r w:rsidRPr="006D665D">
              <w:t>Observación</w:t>
            </w:r>
          </w:p>
        </w:tc>
      </w:tr>
      <w:tr w:rsidR="00B35C41" w:rsidRPr="006D665D">
        <w:trPr>
          <w:trHeight w:val="236"/>
        </w:trPr>
        <w:tc>
          <w:tcPr>
            <w:tcW w:w="2127" w:type="dxa"/>
            <w:vMerge/>
          </w:tcPr>
          <w:p w:rsidR="00B35C41" w:rsidRPr="006D665D" w:rsidRDefault="00B35C41" w:rsidP="00C00D9E">
            <w:pPr>
              <w:rPr>
                <w:b/>
                <w:sz w:val="18"/>
              </w:rPr>
            </w:pPr>
          </w:p>
        </w:tc>
        <w:tc>
          <w:tcPr>
            <w:tcW w:w="3402" w:type="dxa"/>
            <w:gridSpan w:val="3"/>
          </w:tcPr>
          <w:p w:rsidR="00B35C41" w:rsidRPr="006D665D" w:rsidRDefault="00B35C41" w:rsidP="00C00D9E">
            <w:pPr>
              <w:jc w:val="left"/>
            </w:pPr>
            <w:r w:rsidRPr="006D665D">
              <w:rPr>
                <w:i/>
              </w:rPr>
              <w:t>Participación de los gobiernos en</w:t>
            </w:r>
            <w:r w:rsidRPr="006D665D">
              <w:rPr>
                <w:i/>
              </w:rPr>
              <w:br/>
              <w:t>los gastos</w:t>
            </w:r>
          </w:p>
        </w:tc>
        <w:tc>
          <w:tcPr>
            <w:tcW w:w="1844" w:type="dxa"/>
          </w:tcPr>
          <w:p w:rsidR="00B35C41" w:rsidRPr="000675E6" w:rsidRDefault="00B35C41" w:rsidP="00C00D9E">
            <w:pPr>
              <w:jc w:val="left"/>
            </w:pPr>
            <w:r w:rsidRPr="000675E6">
              <w:t>100.000</w:t>
            </w:r>
          </w:p>
        </w:tc>
        <w:tc>
          <w:tcPr>
            <w:tcW w:w="1949" w:type="dxa"/>
            <w:gridSpan w:val="2"/>
          </w:tcPr>
          <w:p w:rsidR="00B35C41" w:rsidRPr="006D665D" w:rsidRDefault="00B35C41" w:rsidP="00C00D9E">
            <w:pPr>
              <w:jc w:val="left"/>
            </w:pPr>
            <w:r w:rsidRPr="006D665D">
              <w:t>(remítase al OIEA)</w:t>
            </w:r>
          </w:p>
        </w:tc>
      </w:tr>
      <w:tr w:rsidR="00B35C41" w:rsidRPr="006D665D">
        <w:trPr>
          <w:trHeight w:val="263"/>
        </w:trPr>
        <w:tc>
          <w:tcPr>
            <w:tcW w:w="2127" w:type="dxa"/>
            <w:vMerge/>
          </w:tcPr>
          <w:p w:rsidR="00B35C41" w:rsidRPr="006D665D" w:rsidRDefault="00B35C41" w:rsidP="00C00D9E">
            <w:pPr>
              <w:rPr>
                <w:b/>
                <w:sz w:val="18"/>
              </w:rPr>
            </w:pPr>
          </w:p>
        </w:tc>
        <w:tc>
          <w:tcPr>
            <w:tcW w:w="3402" w:type="dxa"/>
            <w:gridSpan w:val="3"/>
          </w:tcPr>
          <w:p w:rsidR="00B35C41" w:rsidRPr="006D665D" w:rsidRDefault="00B35C41" w:rsidP="00C00D9E">
            <w:pPr>
              <w:jc w:val="left"/>
            </w:pPr>
            <w:r w:rsidRPr="006D665D">
              <w:rPr>
                <w:i/>
              </w:rPr>
              <w:t>Instituciones de contraparte</w:t>
            </w:r>
          </w:p>
        </w:tc>
        <w:tc>
          <w:tcPr>
            <w:tcW w:w="1844" w:type="dxa"/>
          </w:tcPr>
          <w:p w:rsidR="00B35C41" w:rsidRDefault="00B35C41" w:rsidP="00C00D9E">
            <w:pPr>
              <w:jc w:val="left"/>
            </w:pPr>
            <w:r w:rsidRPr="000675E6">
              <w:t>UCN Chile, UNA Costa Rica. U. Ant</w:t>
            </w:r>
            <w:r w:rsidR="00AF792D">
              <w:t>ioquia</w:t>
            </w:r>
            <w:r w:rsidRPr="000675E6">
              <w:t xml:space="preserve"> Colombia</w:t>
            </w:r>
          </w:p>
          <w:p w:rsidR="00A76B45" w:rsidRPr="000675E6" w:rsidRDefault="00A76B45" w:rsidP="00C00D9E">
            <w:pPr>
              <w:jc w:val="left"/>
            </w:pPr>
          </w:p>
        </w:tc>
        <w:tc>
          <w:tcPr>
            <w:tcW w:w="1949" w:type="dxa"/>
            <w:gridSpan w:val="2"/>
          </w:tcPr>
          <w:p w:rsidR="00B35C41" w:rsidRPr="006D665D" w:rsidRDefault="00B35C41" w:rsidP="00C00D9E">
            <w:pPr>
              <w:jc w:val="left"/>
              <w:rPr>
                <w:highlight w:val="yellow"/>
              </w:rPr>
            </w:pPr>
          </w:p>
        </w:tc>
      </w:tr>
      <w:tr w:rsidR="00B35C41" w:rsidRPr="006D665D">
        <w:trPr>
          <w:trHeight w:val="263"/>
        </w:trPr>
        <w:tc>
          <w:tcPr>
            <w:tcW w:w="2127" w:type="dxa"/>
            <w:vMerge/>
          </w:tcPr>
          <w:p w:rsidR="00B35C41" w:rsidRPr="006D665D" w:rsidRDefault="00B35C41" w:rsidP="00C00D9E">
            <w:pPr>
              <w:rPr>
                <w:b/>
                <w:sz w:val="18"/>
              </w:rPr>
            </w:pPr>
          </w:p>
        </w:tc>
        <w:tc>
          <w:tcPr>
            <w:tcW w:w="3402" w:type="dxa"/>
            <w:gridSpan w:val="3"/>
          </w:tcPr>
          <w:p w:rsidR="00B35C41" w:rsidRPr="006D665D" w:rsidRDefault="00B35C41" w:rsidP="00C00D9E">
            <w:pPr>
              <w:jc w:val="left"/>
            </w:pPr>
            <w:r w:rsidRPr="006D665D">
              <w:rPr>
                <w:i/>
              </w:rPr>
              <w:t>Otros asociados</w:t>
            </w:r>
          </w:p>
        </w:tc>
        <w:tc>
          <w:tcPr>
            <w:tcW w:w="1844" w:type="dxa"/>
          </w:tcPr>
          <w:p w:rsidR="00AF792D" w:rsidRDefault="00AF792D" w:rsidP="00AF792D">
            <w:pPr>
              <w:jc w:val="left"/>
            </w:pPr>
            <w:r>
              <w:t xml:space="preserve">UABC: </w:t>
            </w:r>
            <w:proofErr w:type="spellStart"/>
            <w:r>
              <w:t>Mexico</w:t>
            </w:r>
            <w:proofErr w:type="spellEnd"/>
          </w:p>
          <w:p w:rsidR="00AF792D" w:rsidRDefault="00AF792D" w:rsidP="00AF792D">
            <w:pPr>
              <w:jc w:val="left"/>
            </w:pPr>
            <w:r>
              <w:t xml:space="preserve">CICESE: </w:t>
            </w:r>
            <w:proofErr w:type="spellStart"/>
            <w:r>
              <w:t>Mexico</w:t>
            </w:r>
            <w:proofErr w:type="spellEnd"/>
          </w:p>
          <w:p w:rsidR="00B35C41" w:rsidRPr="000675E6" w:rsidRDefault="00AF792D" w:rsidP="00AF792D">
            <w:pPr>
              <w:jc w:val="left"/>
            </w:pPr>
            <w:r>
              <w:t>IMARPE: Perú</w:t>
            </w:r>
          </w:p>
        </w:tc>
        <w:tc>
          <w:tcPr>
            <w:tcW w:w="1949" w:type="dxa"/>
            <w:gridSpan w:val="2"/>
          </w:tcPr>
          <w:p w:rsidR="00B35C41" w:rsidRPr="006D665D" w:rsidRDefault="00B35C41" w:rsidP="00C00D9E">
            <w:pPr>
              <w:jc w:val="left"/>
            </w:pPr>
            <w:r w:rsidRPr="006D665D">
              <w:t>Indique cuáles</w:t>
            </w:r>
          </w:p>
        </w:tc>
      </w:tr>
      <w:tr w:rsidR="00B35C41" w:rsidRPr="006D665D">
        <w:trPr>
          <w:trHeight w:val="199"/>
        </w:trPr>
        <w:tc>
          <w:tcPr>
            <w:tcW w:w="2127" w:type="dxa"/>
            <w:vMerge/>
          </w:tcPr>
          <w:p w:rsidR="00B35C41" w:rsidRPr="006D665D" w:rsidRDefault="00B35C41" w:rsidP="00C00D9E">
            <w:pPr>
              <w:rPr>
                <w:b/>
                <w:sz w:val="18"/>
              </w:rPr>
            </w:pPr>
          </w:p>
        </w:tc>
        <w:tc>
          <w:tcPr>
            <w:tcW w:w="1792" w:type="dxa"/>
            <w:vMerge w:val="restart"/>
          </w:tcPr>
          <w:p w:rsidR="00B35C41" w:rsidRPr="006D665D" w:rsidRDefault="00B35C41" w:rsidP="00C00D9E">
            <w:pPr>
              <w:jc w:val="left"/>
            </w:pPr>
            <w:r w:rsidRPr="006D665D">
              <w:rPr>
                <w:i/>
              </w:rPr>
              <w:t>Fondo de Cooperación Técnica (FCT) del OIEA</w:t>
            </w:r>
          </w:p>
        </w:tc>
        <w:tc>
          <w:tcPr>
            <w:tcW w:w="1610" w:type="dxa"/>
            <w:gridSpan w:val="2"/>
          </w:tcPr>
          <w:p w:rsidR="00B35C41" w:rsidRPr="006D665D" w:rsidRDefault="00B35C41" w:rsidP="00C00D9E">
            <w:pPr>
              <w:jc w:val="left"/>
            </w:pPr>
            <w:r w:rsidRPr="006D665D">
              <w:rPr>
                <w:i/>
              </w:rPr>
              <w:t>Becas/visitas científicas/</w:t>
            </w:r>
            <w:r>
              <w:rPr>
                <w:i/>
              </w:rPr>
              <w:t xml:space="preserve"> </w:t>
            </w:r>
            <w:r w:rsidRPr="006D665D">
              <w:rPr>
                <w:i/>
              </w:rPr>
              <w:t>cursos de capacitación/</w:t>
            </w:r>
            <w:r>
              <w:rPr>
                <w:i/>
              </w:rPr>
              <w:t xml:space="preserve"> </w:t>
            </w:r>
            <w:r w:rsidRPr="006D665D">
              <w:rPr>
                <w:i/>
              </w:rPr>
              <w:t>talleres</w:t>
            </w:r>
          </w:p>
        </w:tc>
        <w:tc>
          <w:tcPr>
            <w:tcW w:w="1844" w:type="dxa"/>
          </w:tcPr>
          <w:p w:rsidR="00B35C41" w:rsidRPr="000675E6" w:rsidRDefault="00B35C41" w:rsidP="00C00D9E">
            <w:pPr>
              <w:jc w:val="left"/>
            </w:pPr>
            <w:r w:rsidRPr="000675E6">
              <w:t>150.000</w:t>
            </w:r>
          </w:p>
        </w:tc>
        <w:tc>
          <w:tcPr>
            <w:tcW w:w="1949" w:type="dxa"/>
            <w:gridSpan w:val="2"/>
          </w:tcPr>
          <w:p w:rsidR="00B35C41" w:rsidRPr="006D665D" w:rsidRDefault="00B35C41" w:rsidP="00C00D9E">
            <w:pPr>
              <w:jc w:val="left"/>
              <w:rPr>
                <w:highlight w:val="yellow"/>
              </w:rPr>
            </w:pPr>
          </w:p>
        </w:tc>
      </w:tr>
      <w:tr w:rsidR="00B35C41" w:rsidRPr="006D665D">
        <w:trPr>
          <w:trHeight w:val="199"/>
        </w:trPr>
        <w:tc>
          <w:tcPr>
            <w:tcW w:w="2127" w:type="dxa"/>
            <w:vMerge/>
          </w:tcPr>
          <w:p w:rsidR="00B35C41" w:rsidRPr="006D665D" w:rsidRDefault="00B35C41" w:rsidP="00C00D9E">
            <w:pPr>
              <w:rPr>
                <w:b/>
                <w:sz w:val="18"/>
              </w:rPr>
            </w:pPr>
          </w:p>
        </w:tc>
        <w:tc>
          <w:tcPr>
            <w:tcW w:w="1792" w:type="dxa"/>
            <w:vMerge/>
          </w:tcPr>
          <w:p w:rsidR="00B35C41" w:rsidRPr="006D665D" w:rsidRDefault="00B35C41" w:rsidP="00C00D9E">
            <w:pPr>
              <w:jc w:val="left"/>
              <w:rPr>
                <w:i/>
              </w:rPr>
            </w:pPr>
          </w:p>
        </w:tc>
        <w:tc>
          <w:tcPr>
            <w:tcW w:w="1610" w:type="dxa"/>
            <w:gridSpan w:val="2"/>
          </w:tcPr>
          <w:p w:rsidR="00B35C41" w:rsidRPr="006D665D" w:rsidRDefault="00B35C41" w:rsidP="00C00D9E">
            <w:pPr>
              <w:jc w:val="left"/>
            </w:pPr>
            <w:r w:rsidRPr="006D665D">
              <w:rPr>
                <w:i/>
              </w:rPr>
              <w:t>Expertos</w:t>
            </w:r>
          </w:p>
        </w:tc>
        <w:tc>
          <w:tcPr>
            <w:tcW w:w="1844" w:type="dxa"/>
          </w:tcPr>
          <w:p w:rsidR="00B35C41" w:rsidRPr="006D665D" w:rsidRDefault="00AF792D" w:rsidP="00C00D9E">
            <w:pPr>
              <w:jc w:val="left"/>
              <w:rPr>
                <w:i/>
              </w:rPr>
            </w:pPr>
            <w:r>
              <w:rPr>
                <w:i/>
              </w:rPr>
              <w:t>7</w:t>
            </w:r>
            <w:r w:rsidR="00B35C41">
              <w:rPr>
                <w:i/>
              </w:rPr>
              <w:t>5.000</w:t>
            </w:r>
          </w:p>
        </w:tc>
        <w:tc>
          <w:tcPr>
            <w:tcW w:w="1949" w:type="dxa"/>
            <w:gridSpan w:val="2"/>
          </w:tcPr>
          <w:p w:rsidR="00B35C41" w:rsidRPr="006D665D" w:rsidRDefault="00B35C41" w:rsidP="00C00D9E">
            <w:pPr>
              <w:jc w:val="left"/>
              <w:rPr>
                <w:i/>
              </w:rPr>
            </w:pPr>
          </w:p>
        </w:tc>
      </w:tr>
      <w:tr w:rsidR="00B35C41" w:rsidRPr="006D665D">
        <w:trPr>
          <w:trHeight w:val="245"/>
        </w:trPr>
        <w:tc>
          <w:tcPr>
            <w:tcW w:w="2127" w:type="dxa"/>
            <w:vMerge/>
          </w:tcPr>
          <w:p w:rsidR="00B35C41" w:rsidRPr="006D665D" w:rsidRDefault="00B35C41" w:rsidP="00C00D9E">
            <w:pPr>
              <w:rPr>
                <w:b/>
                <w:sz w:val="18"/>
              </w:rPr>
            </w:pPr>
          </w:p>
        </w:tc>
        <w:tc>
          <w:tcPr>
            <w:tcW w:w="1792" w:type="dxa"/>
            <w:vMerge/>
          </w:tcPr>
          <w:p w:rsidR="00B35C41" w:rsidRPr="006D665D" w:rsidRDefault="00B35C41" w:rsidP="00C00D9E">
            <w:pPr>
              <w:jc w:val="left"/>
              <w:rPr>
                <w:i/>
              </w:rPr>
            </w:pPr>
          </w:p>
        </w:tc>
        <w:tc>
          <w:tcPr>
            <w:tcW w:w="1610" w:type="dxa"/>
            <w:gridSpan w:val="2"/>
          </w:tcPr>
          <w:p w:rsidR="00B35C41" w:rsidRPr="006D665D" w:rsidRDefault="00B35C41" w:rsidP="00C00D9E">
            <w:pPr>
              <w:jc w:val="left"/>
            </w:pPr>
            <w:r w:rsidRPr="006D665D">
              <w:rPr>
                <w:i/>
              </w:rPr>
              <w:t>Equipo</w:t>
            </w:r>
          </w:p>
        </w:tc>
        <w:tc>
          <w:tcPr>
            <w:tcW w:w="1844" w:type="dxa"/>
          </w:tcPr>
          <w:p w:rsidR="007163B1" w:rsidRDefault="00AF792D">
            <w:pPr>
              <w:jc w:val="left"/>
              <w:rPr>
                <w:i/>
              </w:rPr>
            </w:pPr>
            <w:r>
              <w:rPr>
                <w:i/>
              </w:rPr>
              <w:t>100.000</w:t>
            </w:r>
          </w:p>
        </w:tc>
        <w:tc>
          <w:tcPr>
            <w:tcW w:w="1949" w:type="dxa"/>
            <w:gridSpan w:val="2"/>
          </w:tcPr>
          <w:p w:rsidR="00B35C41" w:rsidRPr="006D665D" w:rsidRDefault="00B35C41" w:rsidP="00C00D9E">
            <w:pPr>
              <w:jc w:val="left"/>
              <w:rPr>
                <w:i/>
              </w:rPr>
            </w:pPr>
          </w:p>
        </w:tc>
      </w:tr>
      <w:tr w:rsidR="00B35C41" w:rsidRPr="006D665D">
        <w:trPr>
          <w:trHeight w:val="92"/>
        </w:trPr>
        <w:tc>
          <w:tcPr>
            <w:tcW w:w="2127" w:type="dxa"/>
            <w:vMerge/>
          </w:tcPr>
          <w:p w:rsidR="00B35C41" w:rsidRPr="006D665D" w:rsidRDefault="00B35C41" w:rsidP="00C00D9E">
            <w:pPr>
              <w:rPr>
                <w:b/>
                <w:sz w:val="18"/>
              </w:rPr>
            </w:pPr>
          </w:p>
        </w:tc>
        <w:tc>
          <w:tcPr>
            <w:tcW w:w="3402" w:type="dxa"/>
            <w:gridSpan w:val="3"/>
            <w:shd w:val="clear" w:color="auto" w:fill="D9D9D9"/>
          </w:tcPr>
          <w:p w:rsidR="00B35C41" w:rsidRPr="006D665D" w:rsidRDefault="00B35C41" w:rsidP="00C00D9E">
            <w:pPr>
              <w:jc w:val="right"/>
              <w:rPr>
                <w:i/>
                <w:sz w:val="10"/>
              </w:rPr>
            </w:pPr>
          </w:p>
        </w:tc>
        <w:tc>
          <w:tcPr>
            <w:tcW w:w="1844" w:type="dxa"/>
            <w:shd w:val="clear" w:color="auto" w:fill="D9D9D9"/>
          </w:tcPr>
          <w:p w:rsidR="00B35C41" w:rsidRPr="006D665D" w:rsidRDefault="00B35C41" w:rsidP="00C00D9E">
            <w:pPr>
              <w:rPr>
                <w:i/>
                <w:sz w:val="10"/>
              </w:rPr>
            </w:pPr>
          </w:p>
        </w:tc>
        <w:tc>
          <w:tcPr>
            <w:tcW w:w="1949" w:type="dxa"/>
            <w:gridSpan w:val="2"/>
            <w:shd w:val="clear" w:color="auto" w:fill="D9D9D9"/>
          </w:tcPr>
          <w:p w:rsidR="00B35C41" w:rsidRPr="006D665D" w:rsidRDefault="00B35C41" w:rsidP="00C00D9E">
            <w:pPr>
              <w:rPr>
                <w:i/>
                <w:sz w:val="10"/>
              </w:rPr>
            </w:pPr>
          </w:p>
        </w:tc>
      </w:tr>
      <w:tr w:rsidR="00B35C41" w:rsidRPr="006D665D">
        <w:trPr>
          <w:trHeight w:val="138"/>
        </w:trPr>
        <w:tc>
          <w:tcPr>
            <w:tcW w:w="2127" w:type="dxa"/>
            <w:vMerge/>
          </w:tcPr>
          <w:p w:rsidR="00B35C41" w:rsidRPr="006D665D" w:rsidRDefault="00B35C41" w:rsidP="00C00D9E">
            <w:pPr>
              <w:rPr>
                <w:b/>
                <w:sz w:val="18"/>
              </w:rPr>
            </w:pPr>
          </w:p>
        </w:tc>
        <w:tc>
          <w:tcPr>
            <w:tcW w:w="3402" w:type="dxa"/>
            <w:gridSpan w:val="3"/>
          </w:tcPr>
          <w:p w:rsidR="00B35C41" w:rsidRPr="006D665D" w:rsidRDefault="00B35C41" w:rsidP="00C00D9E">
            <w:pPr>
              <w:jc w:val="right"/>
            </w:pPr>
            <w:r w:rsidRPr="006D665D">
              <w:rPr>
                <w:i/>
              </w:rPr>
              <w:t>TOTAL</w:t>
            </w:r>
          </w:p>
        </w:tc>
        <w:tc>
          <w:tcPr>
            <w:tcW w:w="1844" w:type="dxa"/>
          </w:tcPr>
          <w:p w:rsidR="00B35C41" w:rsidRPr="006D665D" w:rsidRDefault="00AF792D" w:rsidP="00C00D9E">
            <w:pPr>
              <w:rPr>
                <w:i/>
              </w:rPr>
            </w:pPr>
            <w:r>
              <w:rPr>
                <w:i/>
              </w:rPr>
              <w:t>3</w:t>
            </w:r>
            <w:r w:rsidR="00B35C41">
              <w:rPr>
                <w:i/>
              </w:rPr>
              <w:t>2</w:t>
            </w:r>
            <w:r>
              <w:rPr>
                <w:i/>
              </w:rPr>
              <w:t>5</w:t>
            </w:r>
            <w:r w:rsidR="00B35C41">
              <w:rPr>
                <w:i/>
              </w:rPr>
              <w:t>.000</w:t>
            </w:r>
          </w:p>
        </w:tc>
        <w:tc>
          <w:tcPr>
            <w:tcW w:w="1949" w:type="dxa"/>
            <w:gridSpan w:val="2"/>
          </w:tcPr>
          <w:p w:rsidR="00B35C41" w:rsidRPr="006D665D" w:rsidRDefault="00B35C41" w:rsidP="00C00D9E">
            <w:pPr>
              <w:rPr>
                <w:i/>
              </w:rPr>
            </w:pPr>
          </w:p>
        </w:tc>
      </w:tr>
    </w:tbl>
    <w:p w:rsidR="00B35C41" w:rsidRDefault="00B35C41"/>
    <w:sectPr w:rsidR="00B35C41" w:rsidSect="00A62F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250FD"/>
    <w:multiLevelType w:val="hybridMultilevel"/>
    <w:tmpl w:val="81EA615E"/>
    <w:lvl w:ilvl="0" w:tplc="61D460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46060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41"/>
    <w:rsid w:val="001436C4"/>
    <w:rsid w:val="00171879"/>
    <w:rsid w:val="001756EC"/>
    <w:rsid w:val="0028177A"/>
    <w:rsid w:val="00295D13"/>
    <w:rsid w:val="002B3FCD"/>
    <w:rsid w:val="00331E3F"/>
    <w:rsid w:val="003F3828"/>
    <w:rsid w:val="003F4028"/>
    <w:rsid w:val="004630AB"/>
    <w:rsid w:val="004F2444"/>
    <w:rsid w:val="00504B3A"/>
    <w:rsid w:val="00553E1D"/>
    <w:rsid w:val="0059630E"/>
    <w:rsid w:val="006A64BD"/>
    <w:rsid w:val="007163B1"/>
    <w:rsid w:val="008713F8"/>
    <w:rsid w:val="00896F89"/>
    <w:rsid w:val="008E48AF"/>
    <w:rsid w:val="009277A3"/>
    <w:rsid w:val="00A12CF0"/>
    <w:rsid w:val="00A62F75"/>
    <w:rsid w:val="00A76B45"/>
    <w:rsid w:val="00AE279D"/>
    <w:rsid w:val="00AF792D"/>
    <w:rsid w:val="00B061F7"/>
    <w:rsid w:val="00B24567"/>
    <w:rsid w:val="00B35C41"/>
    <w:rsid w:val="00C00D9E"/>
    <w:rsid w:val="00DD3131"/>
    <w:rsid w:val="00E239B9"/>
    <w:rsid w:val="00EA1721"/>
    <w:rsid w:val="00ED585B"/>
    <w:rsid w:val="00F0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D1D73-1EE9-4027-9A97-09195993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C41"/>
    <w:pPr>
      <w:spacing w:after="5" w:line="247" w:lineRule="auto"/>
      <w:ind w:left="72" w:hanging="10"/>
      <w:jc w:val="both"/>
    </w:pPr>
    <w:rPr>
      <w:rFonts w:ascii="Times New Roman" w:eastAsia="Times New Roman" w:hAnsi="Times New Roman" w:cs="Times New Roman"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5C4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val="es-ES_tradnl" w:eastAsia="en-US"/>
    </w:rPr>
  </w:style>
  <w:style w:type="paragraph" w:styleId="Sinespaciado">
    <w:name w:val="No Spacing"/>
    <w:uiPriority w:val="1"/>
    <w:qFormat/>
    <w:rsid w:val="00B35C41"/>
    <w:pPr>
      <w:spacing w:after="0" w:line="240" w:lineRule="auto"/>
      <w:ind w:left="72" w:hanging="10"/>
      <w:jc w:val="both"/>
    </w:pPr>
    <w:rPr>
      <w:rFonts w:ascii="Times New Roman" w:eastAsia="Times New Roman" w:hAnsi="Times New Roman" w:cs="Times New Roman"/>
      <w:color w:val="000000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B35C4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3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30E"/>
    <w:rPr>
      <w:rFonts w:ascii="Lucida Grande" w:eastAsia="Times New Roman" w:hAnsi="Lucida Grande" w:cs="Lucida Grande"/>
      <w:color w:val="000000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1718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viana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astanoriver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errera@una.c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toledo@ucn.cl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lcarrera@imarpe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 Herrera</dc:creator>
  <cp:lastModifiedBy>Usuario de Windows</cp:lastModifiedBy>
  <cp:revision>2</cp:revision>
  <cp:lastPrinted>2018-02-26T15:11:00Z</cp:lastPrinted>
  <dcterms:created xsi:type="dcterms:W3CDTF">2018-02-26T15:14:00Z</dcterms:created>
  <dcterms:modified xsi:type="dcterms:W3CDTF">2018-02-26T15:14:00Z</dcterms:modified>
</cp:coreProperties>
</file>